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C52FFA" w:rsidTr="00B40B39">
        <w:trPr>
          <w:trHeight w:val="2880"/>
          <w:jc w:val="center"/>
        </w:trPr>
        <w:tc>
          <w:tcPr>
            <w:tcW w:w="5000" w:type="pct"/>
          </w:tcPr>
          <w:p w:rsidR="00C52FFA" w:rsidRDefault="00C52FFA" w:rsidP="00B40B39">
            <w:pPr>
              <w:pStyle w:val="NoSpacing"/>
              <w:jc w:val="center"/>
              <w:rPr>
                <w:rFonts w:ascii="Cambria" w:hAnsi="Cambria"/>
                <w:caps/>
              </w:rPr>
            </w:pPr>
            <w:bookmarkStart w:id="0" w:name="_GoBack"/>
            <w:bookmarkEnd w:id="0"/>
            <w:r>
              <w:rPr>
                <w:rFonts w:ascii="Cambria" w:hAnsi="Cambria"/>
                <w:caps/>
              </w:rPr>
              <w:t>Georgia Gwinnett College Library</w:t>
            </w:r>
          </w:p>
        </w:tc>
      </w:tr>
      <w:tr w:rsidR="00C52FFA" w:rsidTr="00B40B39">
        <w:trPr>
          <w:trHeight w:val="1440"/>
          <w:jc w:val="center"/>
        </w:trPr>
        <w:tc>
          <w:tcPr>
            <w:tcW w:w="5000" w:type="pct"/>
            <w:tcBorders>
              <w:bottom w:val="single" w:sz="4" w:space="0" w:color="4F81BD"/>
            </w:tcBorders>
            <w:vAlign w:val="center"/>
          </w:tcPr>
          <w:p w:rsidR="00C52FFA" w:rsidRDefault="00C52FFA" w:rsidP="00B40B39">
            <w:pPr>
              <w:pStyle w:val="NoSpacing"/>
              <w:jc w:val="center"/>
              <w:rPr>
                <w:rFonts w:ascii="Cambria" w:hAnsi="Cambria"/>
                <w:sz w:val="80"/>
                <w:szCs w:val="80"/>
              </w:rPr>
            </w:pPr>
            <w:r>
              <w:rPr>
                <w:rFonts w:ascii="Cambria" w:hAnsi="Cambria"/>
                <w:sz w:val="80"/>
                <w:szCs w:val="80"/>
              </w:rPr>
              <w:t>Annual Report</w:t>
            </w:r>
          </w:p>
        </w:tc>
      </w:tr>
      <w:tr w:rsidR="00C52FFA" w:rsidTr="00B40B39">
        <w:trPr>
          <w:trHeight w:val="720"/>
          <w:jc w:val="center"/>
        </w:trPr>
        <w:tc>
          <w:tcPr>
            <w:tcW w:w="5000" w:type="pct"/>
            <w:tcBorders>
              <w:top w:val="single" w:sz="4" w:space="0" w:color="4F81BD"/>
            </w:tcBorders>
            <w:vAlign w:val="center"/>
          </w:tcPr>
          <w:p w:rsidR="00C52FFA" w:rsidRDefault="00C52FFA" w:rsidP="00B40B39">
            <w:pPr>
              <w:pStyle w:val="NoSpacing"/>
              <w:jc w:val="center"/>
              <w:rPr>
                <w:rFonts w:ascii="Cambria" w:hAnsi="Cambria"/>
                <w:sz w:val="44"/>
                <w:szCs w:val="44"/>
              </w:rPr>
            </w:pPr>
            <w:r>
              <w:rPr>
                <w:rFonts w:ascii="Cambria" w:hAnsi="Cambria"/>
                <w:sz w:val="44"/>
                <w:szCs w:val="44"/>
              </w:rPr>
              <w:t>2012-2013</w:t>
            </w:r>
          </w:p>
        </w:tc>
      </w:tr>
    </w:tbl>
    <w:p w:rsidR="00C52FFA" w:rsidRDefault="00C52FFA">
      <w:pPr>
        <w:rPr>
          <w:rFonts w:ascii="Bell Gothic Std Black" w:hAnsi="Bell Gothic Std Black"/>
          <w:b/>
          <w:sz w:val="28"/>
          <w:szCs w:val="28"/>
        </w:rPr>
      </w:pPr>
      <w:r>
        <w:rPr>
          <w:rFonts w:ascii="Bell Gothic Std Black" w:hAnsi="Bell Gothic Std Black"/>
          <w:b/>
          <w:sz w:val="28"/>
          <w:szCs w:val="28"/>
        </w:rPr>
        <w:br w:type="page"/>
      </w:r>
      <w:r>
        <w:rPr>
          <w:rFonts w:ascii="Bell Gothic Std Black" w:hAnsi="Bell Gothic Std Black"/>
          <w:b/>
          <w:sz w:val="28"/>
          <w:szCs w:val="28"/>
        </w:rPr>
        <w:lastRenderedPageBreak/>
        <w:br w:type="page"/>
      </w:r>
    </w:p>
    <w:p w:rsidR="00C52FFA" w:rsidRDefault="00C52FFA">
      <w:pPr>
        <w:rPr>
          <w:rFonts w:ascii="Bell Gothic Std Black" w:hAnsi="Bell Gothic Std Black"/>
          <w:b/>
          <w:sz w:val="28"/>
          <w:szCs w:val="28"/>
        </w:rPr>
      </w:pPr>
    </w:p>
    <w:p w:rsidR="00241D6B" w:rsidRPr="001E2CA3" w:rsidRDefault="00241D6B" w:rsidP="00241D6B">
      <w:pPr>
        <w:rPr>
          <w:rFonts w:ascii="Bell Gothic Std Black" w:hAnsi="Bell Gothic Std Black"/>
          <w:b/>
          <w:sz w:val="28"/>
          <w:szCs w:val="28"/>
        </w:rPr>
      </w:pPr>
      <w:r w:rsidRPr="001E2CA3">
        <w:rPr>
          <w:rFonts w:ascii="Bell Gothic Std Black" w:hAnsi="Bell Gothic Std Black"/>
          <w:b/>
          <w:sz w:val="28"/>
          <w:szCs w:val="28"/>
        </w:rPr>
        <w:t>Executive Summary</w:t>
      </w:r>
    </w:p>
    <w:p w:rsidR="00241D6B" w:rsidRPr="00EC42C1" w:rsidRDefault="00241D6B" w:rsidP="00241D6B"/>
    <w:p w:rsidR="00241D6B" w:rsidRDefault="00241D6B" w:rsidP="00241D6B">
      <w:r w:rsidRPr="00EC42C1">
        <w:t xml:space="preserve">Georgia Gwinnett College Library was successful in meeting its primary goals of excellence in the year </w:t>
      </w:r>
      <w:r w:rsidR="008009AA">
        <w:t>2012-2013.</w:t>
      </w:r>
      <w:r w:rsidRPr="00EC42C1">
        <w:t xml:space="preserve"> Primary points of ac</w:t>
      </w:r>
      <w:r>
        <w:t>hievement include the following:</w:t>
      </w:r>
    </w:p>
    <w:p w:rsidR="00241D6B" w:rsidRPr="00EC42C1" w:rsidRDefault="00241D6B" w:rsidP="00241D6B"/>
    <w:p w:rsidR="00241D6B" w:rsidRDefault="00241D6B" w:rsidP="00241D6B">
      <w:pPr>
        <w:numPr>
          <w:ilvl w:val="0"/>
          <w:numId w:val="1"/>
        </w:numPr>
      </w:pPr>
      <w:r w:rsidRPr="00A80515">
        <w:rPr>
          <w:b/>
        </w:rPr>
        <w:t>Library Building</w:t>
      </w:r>
      <w:r w:rsidRPr="00636A89">
        <w:t xml:space="preserve"> </w:t>
      </w:r>
      <w:r>
        <w:t xml:space="preserve">– The new Library continues its status of campus icon and one of the most popular buildings on campus. The </w:t>
      </w:r>
      <w:r w:rsidR="008009AA">
        <w:t>new Quiet Library policy has proven to be very successful.</w:t>
      </w:r>
      <w:r>
        <w:t xml:space="preserve"> </w:t>
      </w:r>
    </w:p>
    <w:p w:rsidR="008009AA" w:rsidRDefault="00241D6B" w:rsidP="00241D6B">
      <w:pPr>
        <w:numPr>
          <w:ilvl w:val="0"/>
          <w:numId w:val="1"/>
        </w:numPr>
      </w:pPr>
      <w:r w:rsidRPr="008009AA">
        <w:rPr>
          <w:b/>
        </w:rPr>
        <w:t>Collections</w:t>
      </w:r>
      <w:r w:rsidRPr="00636A89">
        <w:t xml:space="preserve"> – </w:t>
      </w:r>
      <w:r>
        <w:t>T</w:t>
      </w:r>
      <w:r w:rsidRPr="00636A89">
        <w:t xml:space="preserve">he Library </w:t>
      </w:r>
      <w:r>
        <w:t xml:space="preserve">was able to </w:t>
      </w:r>
      <w:r w:rsidRPr="00636A89">
        <w:t xml:space="preserve">honor faculty requests for new materials and </w:t>
      </w:r>
      <w:r>
        <w:t>to continue its</w:t>
      </w:r>
      <w:r w:rsidRPr="00636A89">
        <w:t xml:space="preserve"> develop</w:t>
      </w:r>
      <w:r>
        <w:t>ment of</w:t>
      </w:r>
      <w:r w:rsidRPr="00636A89">
        <w:t xml:space="preserve"> a collection designed to support </w:t>
      </w:r>
      <w:r>
        <w:t xml:space="preserve">the </w:t>
      </w:r>
      <w:r w:rsidRPr="00636A89">
        <w:t xml:space="preserve">curricula. </w:t>
      </w:r>
    </w:p>
    <w:p w:rsidR="00241D6B" w:rsidRPr="00636A89" w:rsidRDefault="00241D6B" w:rsidP="00241D6B">
      <w:pPr>
        <w:numPr>
          <w:ilvl w:val="0"/>
          <w:numId w:val="1"/>
        </w:numPr>
      </w:pPr>
      <w:r w:rsidRPr="008009AA">
        <w:rPr>
          <w:b/>
        </w:rPr>
        <w:t>Services</w:t>
      </w:r>
      <w:r w:rsidRPr="00636A89">
        <w:t xml:space="preserve"> – The Library’s instruction program was </w:t>
      </w:r>
      <w:r>
        <w:t>very successful and busy</w:t>
      </w:r>
      <w:r w:rsidR="00421BD5">
        <w:t>,</w:t>
      </w:r>
      <w:r>
        <w:t xml:space="preserve"> further justifying the need to boost the staffing in that area. The Library’s three Information Commons continue to provide additional and important outreach of library services for the GGC community and underline the continuing need for additional staff in Library Information Systems. </w:t>
      </w:r>
      <w:r w:rsidR="00421BD5">
        <w:t>Access Services likewise continued to show significant increases in activity.</w:t>
      </w:r>
      <w:r>
        <w:t xml:space="preserve"> </w:t>
      </w:r>
    </w:p>
    <w:p w:rsidR="00241D6B" w:rsidRPr="00636A89" w:rsidRDefault="00241D6B" w:rsidP="00241D6B"/>
    <w:p w:rsidR="00241D6B" w:rsidRDefault="00241D6B" w:rsidP="00241D6B">
      <w:r w:rsidRPr="00EC42C1">
        <w:t>The 20</w:t>
      </w:r>
      <w:r>
        <w:t>12</w:t>
      </w:r>
      <w:r w:rsidRPr="00EC42C1">
        <w:t>-20</w:t>
      </w:r>
      <w:r>
        <w:t>13</w:t>
      </w:r>
      <w:r w:rsidRPr="00EC42C1">
        <w:t xml:space="preserve"> administrative goals for the Library </w:t>
      </w:r>
      <w:r w:rsidR="008009AA">
        <w:t>were:</w:t>
      </w:r>
    </w:p>
    <w:p w:rsidR="00241D6B" w:rsidRPr="00EC42C1" w:rsidRDefault="00241D6B" w:rsidP="00241D6B"/>
    <w:p w:rsidR="00241D6B" w:rsidRPr="00CC6B36" w:rsidRDefault="00241D6B" w:rsidP="00241D6B">
      <w:pPr>
        <w:numPr>
          <w:ilvl w:val="0"/>
          <w:numId w:val="2"/>
        </w:numPr>
        <w:rPr>
          <w:b/>
        </w:rPr>
      </w:pPr>
      <w:r>
        <w:rPr>
          <w:b/>
        </w:rPr>
        <w:t xml:space="preserve">Strategic Plan &amp; Assessment – </w:t>
      </w:r>
      <w:r w:rsidRPr="00CC6B36">
        <w:t>Administer t</w:t>
      </w:r>
      <w:r>
        <w:t>he updating of the Library’s Strategic Plan and assessment tools ensuring that they will most efficiently direct and inform the development of the unit’s services and resources.</w:t>
      </w:r>
    </w:p>
    <w:p w:rsidR="00241D6B" w:rsidRDefault="00241D6B" w:rsidP="00241D6B">
      <w:pPr>
        <w:numPr>
          <w:ilvl w:val="0"/>
          <w:numId w:val="2"/>
        </w:numPr>
      </w:pPr>
      <w:r>
        <w:rPr>
          <w:b/>
        </w:rPr>
        <w:t>SACS Compliance Certification and Quality Enhancement Plan</w:t>
      </w:r>
      <w:r w:rsidRPr="00EC42C1">
        <w:t xml:space="preserve"> – Prepare the Library for successful SACS </w:t>
      </w:r>
      <w:r w:rsidRPr="00FB7A30">
        <w:t>Compliance Certification and Quality Enhancement Plan</w:t>
      </w:r>
      <w:r w:rsidRPr="00EC42C1">
        <w:t xml:space="preserve"> </w:t>
      </w:r>
      <w:r w:rsidR="006C72F9">
        <w:t>(QEP) programs</w:t>
      </w:r>
      <w:r>
        <w:t>.</w:t>
      </w:r>
    </w:p>
    <w:p w:rsidR="00241D6B" w:rsidRPr="00FF0526" w:rsidRDefault="00241D6B" w:rsidP="00241D6B">
      <w:pPr>
        <w:numPr>
          <w:ilvl w:val="0"/>
          <w:numId w:val="2"/>
        </w:numPr>
        <w:rPr>
          <w:rFonts w:asciiTheme="minorHAnsi" w:hAnsiTheme="minorHAnsi"/>
          <w:b/>
        </w:rPr>
      </w:pPr>
      <w:r w:rsidRPr="00CC6B36">
        <w:rPr>
          <w:b/>
        </w:rPr>
        <w:t>Georgia Knowledge Repository –</w:t>
      </w:r>
      <w:r>
        <w:t xml:space="preserve"> Continue to support the Library’s development of the College’s information repository to provide for the </w:t>
      </w:r>
      <w:r w:rsidRPr="00FF0526">
        <w:rPr>
          <w:rFonts w:asciiTheme="minorHAnsi" w:hAnsiTheme="minorHAnsi"/>
        </w:rPr>
        <w:t xml:space="preserve">preservation of the digital intellectual output of the institution. </w:t>
      </w:r>
    </w:p>
    <w:p w:rsidR="00241D6B" w:rsidRPr="00255CD5" w:rsidRDefault="00241D6B" w:rsidP="00241D6B">
      <w:pPr>
        <w:numPr>
          <w:ilvl w:val="0"/>
          <w:numId w:val="2"/>
        </w:numPr>
        <w:rPr>
          <w:b/>
        </w:rPr>
      </w:pPr>
      <w:r w:rsidRPr="00EC42C1">
        <w:rPr>
          <w:b/>
        </w:rPr>
        <w:t xml:space="preserve">Library Staffing - </w:t>
      </w:r>
      <w:r w:rsidRPr="00EC42C1">
        <w:t xml:space="preserve">Coordinate the development of the Library’s staffing </w:t>
      </w:r>
      <w:r>
        <w:t xml:space="preserve">levels </w:t>
      </w:r>
      <w:r w:rsidRPr="00EC42C1">
        <w:t xml:space="preserve">and administer a successful plan for the growth of the library faculty and staff to meet the needs of the </w:t>
      </w:r>
      <w:r>
        <w:t>growth of the College’s programs and user populations.</w:t>
      </w:r>
    </w:p>
    <w:p w:rsidR="00241D6B" w:rsidRPr="00255CD5" w:rsidRDefault="00241D6B" w:rsidP="00241D6B">
      <w:pPr>
        <w:numPr>
          <w:ilvl w:val="0"/>
          <w:numId w:val="2"/>
        </w:numPr>
        <w:rPr>
          <w:b/>
        </w:rPr>
      </w:pPr>
      <w:r w:rsidRPr="00255CD5">
        <w:rPr>
          <w:b/>
        </w:rPr>
        <w:t xml:space="preserve">Library Resources - </w:t>
      </w:r>
      <w:r w:rsidRPr="00EC42C1">
        <w:t xml:space="preserve">Secure significant increases in the collections budget </w:t>
      </w:r>
      <w:r>
        <w:t xml:space="preserve">to </w:t>
      </w:r>
      <w:r w:rsidRPr="00EC42C1">
        <w:t xml:space="preserve">meet the needs of the </w:t>
      </w:r>
      <w:r>
        <w:t>growth of the College’s programs and user populations.</w:t>
      </w:r>
    </w:p>
    <w:p w:rsidR="00B40B39" w:rsidRDefault="00B40B39"/>
    <w:p w:rsidR="00514FA7" w:rsidRDefault="008009AA">
      <w:r>
        <w:t xml:space="preserve">Goals 1-3 were successfully met with the production of a new Strategic Plan and the continued development of the Library’s information repository. More work needs to be done to publicize the repository but a solid foundation has been </w:t>
      </w:r>
      <w:r w:rsidR="00514FA7">
        <w:t xml:space="preserve">built for future development.  </w:t>
      </w:r>
      <w:r w:rsidR="006C72F9">
        <w:t xml:space="preserve">The Library was successful in its preparation for SACS Compliance Certification and assisted in the QEP program. </w:t>
      </w:r>
      <w:r w:rsidR="00514FA7">
        <w:t xml:space="preserve">The Library was able to add one professional position to Research Services </w:t>
      </w:r>
      <w:r w:rsidR="00421BD5">
        <w:t xml:space="preserve">and was also able to reclassify three staff positions in Access Services, </w:t>
      </w:r>
      <w:r w:rsidR="00514FA7">
        <w:t>but much more needs to be done to get the Library’s staffing levels up to peer averages. The collections budget suffered a setback in 2012-2013. The suite of research database was not reduced but further enhancements need to be made in this budget area in order to meet program demands.</w:t>
      </w:r>
    </w:p>
    <w:p w:rsidR="00514FA7" w:rsidRDefault="00514FA7"/>
    <w:p w:rsidR="00514FA7" w:rsidRDefault="00514FA7" w:rsidP="00514FA7">
      <w:r w:rsidRPr="00EC42C1">
        <w:t xml:space="preserve">The </w:t>
      </w:r>
      <w:r>
        <w:t>2013-2014</w:t>
      </w:r>
      <w:r w:rsidRPr="00EC42C1">
        <w:t xml:space="preserve"> administrative goals for the Library are:</w:t>
      </w:r>
    </w:p>
    <w:p w:rsidR="00514FA7" w:rsidRPr="00EC42C1" w:rsidRDefault="00514FA7" w:rsidP="00514FA7"/>
    <w:p w:rsidR="00514FA7" w:rsidRPr="00FF0526" w:rsidRDefault="00514FA7" w:rsidP="00514FA7">
      <w:pPr>
        <w:numPr>
          <w:ilvl w:val="0"/>
          <w:numId w:val="2"/>
        </w:numPr>
        <w:rPr>
          <w:rFonts w:asciiTheme="minorHAnsi" w:hAnsiTheme="minorHAnsi"/>
          <w:b/>
        </w:rPr>
      </w:pPr>
      <w:r w:rsidRPr="00CC6B36">
        <w:rPr>
          <w:b/>
        </w:rPr>
        <w:t>Georgia Knowledge Repository –</w:t>
      </w:r>
      <w:r>
        <w:t xml:space="preserve"> Continue to support the Library’s development of the College’s information repository to provide for </w:t>
      </w:r>
      <w:r w:rsidRPr="00FF0526">
        <w:rPr>
          <w:rFonts w:asciiTheme="minorHAnsi" w:hAnsiTheme="minorHAnsi"/>
        </w:rPr>
        <w:t xml:space="preserve">the preservation of the digital intellectual output of the institution. </w:t>
      </w:r>
    </w:p>
    <w:p w:rsidR="006C72F9" w:rsidRPr="006C72F9" w:rsidRDefault="006847AD" w:rsidP="00514FA7">
      <w:pPr>
        <w:numPr>
          <w:ilvl w:val="0"/>
          <w:numId w:val="2"/>
        </w:numPr>
        <w:rPr>
          <w:b/>
        </w:rPr>
      </w:pPr>
      <w:r>
        <w:rPr>
          <w:b/>
        </w:rPr>
        <w:lastRenderedPageBreak/>
        <w:t xml:space="preserve">Library Liaison Program </w:t>
      </w:r>
      <w:r>
        <w:t>– Explore a liaison model that will</w:t>
      </w:r>
      <w:r w:rsidR="006C72F9">
        <w:t xml:space="preserve"> provide more effective communication with area disciplines and enhance collection development. </w:t>
      </w:r>
    </w:p>
    <w:p w:rsidR="006847AD" w:rsidRPr="00CC6B36" w:rsidRDefault="006C72F9" w:rsidP="00514FA7">
      <w:pPr>
        <w:numPr>
          <w:ilvl w:val="0"/>
          <w:numId w:val="2"/>
        </w:numPr>
        <w:rPr>
          <w:b/>
        </w:rPr>
      </w:pPr>
      <w:r>
        <w:rPr>
          <w:b/>
        </w:rPr>
        <w:t>Library Policy &amp; Planning Committee (LP&amp;PC)</w:t>
      </w:r>
      <w:r>
        <w:t xml:space="preserve"> – Reevaluate and explore ways to better integrate the faculty members of the LP&amp;PC into the functioning of the Library’s service development</w:t>
      </w:r>
      <w:r w:rsidR="005E191B">
        <w:t>.</w:t>
      </w:r>
      <w:r>
        <w:t xml:space="preserve"> </w:t>
      </w:r>
    </w:p>
    <w:p w:rsidR="00514FA7" w:rsidRPr="00255CD5" w:rsidRDefault="00514FA7" w:rsidP="00514FA7">
      <w:pPr>
        <w:numPr>
          <w:ilvl w:val="0"/>
          <w:numId w:val="2"/>
        </w:numPr>
        <w:rPr>
          <w:b/>
        </w:rPr>
      </w:pPr>
      <w:r w:rsidRPr="00EC42C1">
        <w:rPr>
          <w:b/>
        </w:rPr>
        <w:t xml:space="preserve">Library Staffing - </w:t>
      </w:r>
      <w:r w:rsidRPr="00EC42C1">
        <w:t xml:space="preserve">Coordinate the development of the Library’s staffing </w:t>
      </w:r>
      <w:r>
        <w:t xml:space="preserve">levels </w:t>
      </w:r>
      <w:r w:rsidRPr="00EC42C1">
        <w:t xml:space="preserve">and administer a successful plan for the growth of the library faculty and staff to meet the needs of the </w:t>
      </w:r>
      <w:r>
        <w:t>growth of the College’s programs and user populations.</w:t>
      </w:r>
    </w:p>
    <w:p w:rsidR="00514FA7" w:rsidRPr="00255CD5" w:rsidRDefault="00514FA7" w:rsidP="00514FA7">
      <w:pPr>
        <w:numPr>
          <w:ilvl w:val="0"/>
          <w:numId w:val="2"/>
        </w:numPr>
        <w:rPr>
          <w:b/>
        </w:rPr>
      </w:pPr>
      <w:r w:rsidRPr="00255CD5">
        <w:rPr>
          <w:b/>
        </w:rPr>
        <w:t xml:space="preserve">Library Resources - </w:t>
      </w:r>
      <w:r w:rsidRPr="00EC42C1">
        <w:t xml:space="preserve">Secure significant increases in the collections budget </w:t>
      </w:r>
      <w:r>
        <w:t xml:space="preserve">to </w:t>
      </w:r>
      <w:r w:rsidRPr="00EC42C1">
        <w:t xml:space="preserve">meet the needs of the </w:t>
      </w:r>
      <w:r>
        <w:t>growth of the College’s programs and user populations.</w:t>
      </w:r>
    </w:p>
    <w:p w:rsidR="00ED0797" w:rsidRDefault="00514FA7">
      <w:r>
        <w:t xml:space="preserve">        </w:t>
      </w:r>
      <w:r w:rsidR="008009AA">
        <w:t xml:space="preserve">    </w:t>
      </w:r>
    </w:p>
    <w:p w:rsidR="00ED0797" w:rsidRDefault="00ED0797">
      <w:r>
        <w:br w:type="page"/>
      </w:r>
    </w:p>
    <w:p w:rsidR="00ED0797" w:rsidRDefault="00ED0797" w:rsidP="00ED0797">
      <w:pPr>
        <w:rPr>
          <w:rFonts w:cs="Calibri"/>
          <w:b/>
          <w:sz w:val="28"/>
          <w:szCs w:val="28"/>
        </w:rPr>
      </w:pPr>
      <w:r w:rsidRPr="00166BE6">
        <w:rPr>
          <w:rFonts w:cs="Calibri"/>
          <w:b/>
          <w:sz w:val="28"/>
          <w:szCs w:val="28"/>
        </w:rPr>
        <w:lastRenderedPageBreak/>
        <w:t>Access Services</w:t>
      </w:r>
    </w:p>
    <w:p w:rsidR="00C52FFA" w:rsidRPr="00166BE6" w:rsidRDefault="00C52FFA" w:rsidP="00ED0797">
      <w:pPr>
        <w:rPr>
          <w:rFonts w:cs="Calibri"/>
          <w:b/>
          <w:sz w:val="28"/>
          <w:szCs w:val="28"/>
        </w:rPr>
      </w:pPr>
    </w:p>
    <w:p w:rsidR="00365312" w:rsidRDefault="00ED0797" w:rsidP="00ED0797">
      <w:pPr>
        <w:rPr>
          <w:rFonts w:cs="Calibri"/>
        </w:rPr>
      </w:pPr>
      <w:r>
        <w:rPr>
          <w:rFonts w:cs="Calibri"/>
        </w:rPr>
        <w:t>During 2012-2013</w:t>
      </w:r>
      <w:r w:rsidRPr="00166BE6">
        <w:rPr>
          <w:rFonts w:cs="Calibri"/>
        </w:rPr>
        <w:t xml:space="preserve"> the Access Services staff </w:t>
      </w:r>
      <w:r w:rsidR="00365312">
        <w:rPr>
          <w:rFonts w:cs="Calibri"/>
        </w:rPr>
        <w:t>continued</w:t>
      </w:r>
      <w:r>
        <w:rPr>
          <w:rFonts w:cs="Calibri"/>
        </w:rPr>
        <w:t xml:space="preserve"> to strive </w:t>
      </w:r>
      <w:r w:rsidRPr="00166BE6">
        <w:rPr>
          <w:rFonts w:cs="Calibri"/>
        </w:rPr>
        <w:t xml:space="preserve">to provide the best service possible </w:t>
      </w:r>
      <w:r>
        <w:rPr>
          <w:rFonts w:cs="Calibri"/>
        </w:rPr>
        <w:t xml:space="preserve">and as many services as possible </w:t>
      </w:r>
      <w:r w:rsidRPr="00166BE6">
        <w:rPr>
          <w:rFonts w:cs="Calibri"/>
        </w:rPr>
        <w:t>all the hours the library is open.</w:t>
      </w:r>
    </w:p>
    <w:p w:rsidR="00ED0797" w:rsidRPr="00166BE6" w:rsidRDefault="00ED0797" w:rsidP="00ED0797">
      <w:pPr>
        <w:rPr>
          <w:rFonts w:cs="Calibri"/>
        </w:rPr>
      </w:pPr>
      <w:r w:rsidRPr="00166BE6">
        <w:rPr>
          <w:rFonts w:cs="Calibri"/>
        </w:rPr>
        <w:t xml:space="preserve">    </w:t>
      </w:r>
    </w:p>
    <w:p w:rsidR="00ED0797" w:rsidRDefault="00FF0526" w:rsidP="00ED0797">
      <w:pPr>
        <w:rPr>
          <w:rFonts w:cs="Calibri"/>
          <w:b/>
        </w:rPr>
      </w:pPr>
      <w:r>
        <w:rPr>
          <w:rFonts w:cs="Calibri"/>
          <w:b/>
        </w:rPr>
        <w:t xml:space="preserve">Activities for </w:t>
      </w:r>
      <w:r w:rsidR="009A68E5">
        <w:rPr>
          <w:rFonts w:cs="Calibri"/>
          <w:b/>
        </w:rPr>
        <w:t xml:space="preserve">FY </w:t>
      </w:r>
      <w:r w:rsidR="00ED0797" w:rsidRPr="00166BE6">
        <w:rPr>
          <w:rFonts w:cs="Calibri"/>
          <w:b/>
        </w:rPr>
        <w:t>201</w:t>
      </w:r>
      <w:r w:rsidR="00ED0797">
        <w:rPr>
          <w:rFonts w:cs="Calibri"/>
          <w:b/>
        </w:rPr>
        <w:t>3</w:t>
      </w:r>
      <w:r w:rsidR="00ED0797" w:rsidRPr="00166BE6">
        <w:rPr>
          <w:rFonts w:cs="Calibri"/>
          <w:b/>
        </w:rPr>
        <w:t>:</w:t>
      </w:r>
    </w:p>
    <w:p w:rsidR="00365312" w:rsidRPr="00166BE6" w:rsidRDefault="00365312" w:rsidP="00ED0797">
      <w:pPr>
        <w:rPr>
          <w:rFonts w:cs="Calibri"/>
          <w:b/>
        </w:rPr>
      </w:pPr>
    </w:p>
    <w:p w:rsidR="00ED0797" w:rsidRPr="00166BE6" w:rsidRDefault="00ED0797" w:rsidP="00ED0797">
      <w:pPr>
        <w:ind w:left="1440" w:hanging="720"/>
        <w:rPr>
          <w:rFonts w:cs="Calibri"/>
        </w:rPr>
      </w:pPr>
      <w:r w:rsidRPr="00166BE6">
        <w:rPr>
          <w:rFonts w:cs="Calibri"/>
        </w:rPr>
        <w:t>•</w:t>
      </w:r>
      <w:r w:rsidRPr="00166BE6">
        <w:rPr>
          <w:rFonts w:cs="Calibri"/>
        </w:rPr>
        <w:tab/>
      </w:r>
      <w:r w:rsidRPr="004A46CB">
        <w:rPr>
          <w:rFonts w:cs="Calibri"/>
          <w:b/>
        </w:rPr>
        <w:t>Collection Maintenance</w:t>
      </w:r>
      <w:r w:rsidRPr="00166BE6">
        <w:rPr>
          <w:rFonts w:cs="Calibri"/>
        </w:rPr>
        <w:t xml:space="preserve"> – The collection is </w:t>
      </w:r>
      <w:r>
        <w:rPr>
          <w:rFonts w:cs="Calibri"/>
        </w:rPr>
        <w:t xml:space="preserve">inventoried, </w:t>
      </w:r>
      <w:r w:rsidRPr="00166BE6">
        <w:rPr>
          <w:rFonts w:cs="Calibri"/>
        </w:rPr>
        <w:t>dusted, straightened, and shelf read regularly.</w:t>
      </w:r>
    </w:p>
    <w:p w:rsidR="00ED0797" w:rsidRPr="00166BE6" w:rsidRDefault="00ED0797" w:rsidP="00ED0797">
      <w:pPr>
        <w:ind w:firstLine="720"/>
        <w:rPr>
          <w:rFonts w:cs="Calibri"/>
        </w:rPr>
      </w:pPr>
      <w:r w:rsidRPr="00166BE6">
        <w:rPr>
          <w:rFonts w:cs="Calibri"/>
        </w:rPr>
        <w:t>•</w:t>
      </w:r>
      <w:r w:rsidRPr="00166BE6">
        <w:rPr>
          <w:rFonts w:cs="Calibri"/>
        </w:rPr>
        <w:tab/>
      </w:r>
      <w:r w:rsidRPr="004A46CB">
        <w:rPr>
          <w:rFonts w:cs="Calibri"/>
          <w:b/>
        </w:rPr>
        <w:t xml:space="preserve">Gate </w:t>
      </w:r>
      <w:r>
        <w:rPr>
          <w:rFonts w:cs="Calibri"/>
          <w:b/>
        </w:rPr>
        <w:t>C</w:t>
      </w:r>
      <w:r w:rsidRPr="004A46CB">
        <w:rPr>
          <w:rFonts w:cs="Calibri"/>
          <w:b/>
        </w:rPr>
        <w:t>ount</w:t>
      </w:r>
      <w:r>
        <w:rPr>
          <w:rFonts w:cs="Calibri"/>
        </w:rPr>
        <w:t xml:space="preserve"> -</w:t>
      </w:r>
      <w:r w:rsidRPr="00166BE6">
        <w:rPr>
          <w:rFonts w:cs="Calibri"/>
        </w:rPr>
        <w:t>increased from 433,028 in FY2012</w:t>
      </w:r>
      <w:r>
        <w:rPr>
          <w:rFonts w:cs="Calibri"/>
        </w:rPr>
        <w:t xml:space="preserve"> to 443,360 in FY2013, a 2.4% increase</w:t>
      </w:r>
      <w:r w:rsidRPr="00166BE6">
        <w:rPr>
          <w:rFonts w:cs="Calibri"/>
        </w:rPr>
        <w:t>.</w:t>
      </w:r>
    </w:p>
    <w:p w:rsidR="00ED0797" w:rsidRPr="00166BE6" w:rsidRDefault="00ED0797" w:rsidP="00ED0797">
      <w:pPr>
        <w:ind w:left="1440" w:hanging="720"/>
        <w:rPr>
          <w:rFonts w:cs="Calibri"/>
        </w:rPr>
      </w:pPr>
      <w:r w:rsidRPr="00166BE6">
        <w:rPr>
          <w:rFonts w:cs="Calibri"/>
        </w:rPr>
        <w:t>•</w:t>
      </w:r>
      <w:r w:rsidRPr="00166BE6">
        <w:rPr>
          <w:rFonts w:cs="Calibri"/>
        </w:rPr>
        <w:tab/>
      </w:r>
      <w:r>
        <w:rPr>
          <w:rFonts w:cs="Calibri"/>
          <w:b/>
        </w:rPr>
        <w:t xml:space="preserve">Circulation </w:t>
      </w:r>
      <w:r>
        <w:rPr>
          <w:rFonts w:cs="Calibri"/>
        </w:rPr>
        <w:t xml:space="preserve">- </w:t>
      </w:r>
      <w:r w:rsidRPr="00166BE6">
        <w:rPr>
          <w:rFonts w:cs="Calibri"/>
        </w:rPr>
        <w:t xml:space="preserve">The number of circulation transactions </w:t>
      </w:r>
      <w:r>
        <w:rPr>
          <w:rFonts w:cs="Calibri"/>
        </w:rPr>
        <w:t>rose from 25,022 in FY2012 to 28,786 in FY13, a 15% increase</w:t>
      </w:r>
      <w:r w:rsidRPr="00166BE6">
        <w:rPr>
          <w:rFonts w:cs="Calibri"/>
        </w:rPr>
        <w:t>.</w:t>
      </w:r>
    </w:p>
    <w:p w:rsidR="00ED0797" w:rsidRPr="00166BE6" w:rsidRDefault="00ED0797" w:rsidP="00ED0797">
      <w:pPr>
        <w:ind w:left="1440" w:hanging="720"/>
        <w:rPr>
          <w:rFonts w:cs="Calibri"/>
        </w:rPr>
      </w:pPr>
      <w:r>
        <w:rPr>
          <w:rFonts w:cs="Calibri"/>
        </w:rPr>
        <w:t>•</w:t>
      </w:r>
      <w:r>
        <w:rPr>
          <w:rFonts w:cs="Calibri"/>
        </w:rPr>
        <w:tab/>
      </w:r>
      <w:r w:rsidRPr="004A46CB">
        <w:rPr>
          <w:rFonts w:cs="Calibri"/>
          <w:b/>
        </w:rPr>
        <w:t>GIL Express</w:t>
      </w:r>
      <w:r>
        <w:rPr>
          <w:rFonts w:cs="Calibri"/>
        </w:rPr>
        <w:t xml:space="preserve"> - </w:t>
      </w:r>
      <w:r w:rsidRPr="00166BE6">
        <w:rPr>
          <w:rFonts w:cs="Calibri"/>
        </w:rPr>
        <w:t xml:space="preserve">lending and </w:t>
      </w:r>
      <w:r>
        <w:rPr>
          <w:rFonts w:cs="Calibri"/>
        </w:rPr>
        <w:t>borrowing transactions in FY2013 were 2,834</w:t>
      </w:r>
      <w:r w:rsidRPr="00166BE6">
        <w:rPr>
          <w:rFonts w:cs="Calibri"/>
        </w:rPr>
        <w:t>.</w:t>
      </w:r>
    </w:p>
    <w:p w:rsidR="00ED0797" w:rsidRPr="00166BE6" w:rsidRDefault="00ED0797" w:rsidP="00ED0797">
      <w:pPr>
        <w:ind w:left="1440" w:hanging="720"/>
        <w:rPr>
          <w:rFonts w:cs="Calibri"/>
        </w:rPr>
      </w:pPr>
      <w:r w:rsidRPr="00166BE6">
        <w:rPr>
          <w:rFonts w:cs="Calibri"/>
        </w:rPr>
        <w:t>•</w:t>
      </w:r>
      <w:r w:rsidRPr="00166BE6">
        <w:rPr>
          <w:rFonts w:cs="Calibri"/>
        </w:rPr>
        <w:tab/>
      </w:r>
      <w:r w:rsidRPr="004A46CB">
        <w:rPr>
          <w:rFonts w:cs="Calibri"/>
          <w:b/>
        </w:rPr>
        <w:t>Reserves</w:t>
      </w:r>
      <w:r w:rsidRPr="00166BE6">
        <w:rPr>
          <w:rFonts w:cs="Calibri"/>
        </w:rPr>
        <w:t xml:space="preserve"> – Items placed on electronic and traditional reserves have continued to increase ove</w:t>
      </w:r>
      <w:r>
        <w:rPr>
          <w:rFonts w:cs="Calibri"/>
        </w:rPr>
        <w:t xml:space="preserve">r the last year.  From </w:t>
      </w:r>
      <w:proofErr w:type="gramStart"/>
      <w:r>
        <w:rPr>
          <w:rFonts w:cs="Calibri"/>
        </w:rPr>
        <w:t>Fall</w:t>
      </w:r>
      <w:proofErr w:type="gramEnd"/>
      <w:r>
        <w:rPr>
          <w:rFonts w:cs="Calibri"/>
        </w:rPr>
        <w:t xml:space="preserve"> 2011-Summer 2012</w:t>
      </w:r>
      <w:r w:rsidRPr="00166BE6">
        <w:rPr>
          <w:rFonts w:cs="Calibri"/>
        </w:rPr>
        <w:t xml:space="preserve">, </w:t>
      </w:r>
      <w:r>
        <w:rPr>
          <w:rFonts w:cs="Calibri"/>
        </w:rPr>
        <w:t>543</w:t>
      </w:r>
      <w:r w:rsidRPr="00166BE6">
        <w:rPr>
          <w:rFonts w:cs="Calibri"/>
        </w:rPr>
        <w:t xml:space="preserve"> items were</w:t>
      </w:r>
      <w:r>
        <w:rPr>
          <w:rFonts w:cs="Calibri"/>
        </w:rPr>
        <w:t xml:space="preserve"> put on reserve.  </w:t>
      </w:r>
      <w:r w:rsidRPr="00712D3E">
        <w:rPr>
          <w:rFonts w:cs="Calibri"/>
        </w:rPr>
        <w:t xml:space="preserve">From </w:t>
      </w:r>
      <w:proofErr w:type="gramStart"/>
      <w:r w:rsidRPr="00712D3E">
        <w:rPr>
          <w:rFonts w:cs="Calibri"/>
        </w:rPr>
        <w:t>Fall</w:t>
      </w:r>
      <w:proofErr w:type="gramEnd"/>
      <w:r w:rsidRPr="00712D3E">
        <w:rPr>
          <w:rFonts w:cs="Calibri"/>
        </w:rPr>
        <w:t xml:space="preserve"> 2012-Summer 2013, 656 items were put on reserve; a 20.8% increase</w:t>
      </w:r>
      <w:r w:rsidRPr="00166BE6">
        <w:rPr>
          <w:rFonts w:cs="Calibri"/>
        </w:rPr>
        <w:t xml:space="preserve">. </w:t>
      </w:r>
    </w:p>
    <w:p w:rsidR="00ED0797" w:rsidRPr="00166BE6" w:rsidRDefault="00ED0797" w:rsidP="00ED0797">
      <w:pPr>
        <w:ind w:left="1440" w:hanging="720"/>
        <w:rPr>
          <w:rFonts w:cs="Calibri"/>
        </w:rPr>
      </w:pPr>
      <w:r>
        <w:rPr>
          <w:rFonts w:cs="Calibri"/>
        </w:rPr>
        <w:t>•</w:t>
      </w:r>
      <w:r>
        <w:rPr>
          <w:rFonts w:cs="Calibri"/>
        </w:rPr>
        <w:tab/>
      </w:r>
      <w:r w:rsidRPr="004A46CB">
        <w:rPr>
          <w:rFonts w:cs="Calibri"/>
          <w:b/>
        </w:rPr>
        <w:t>Campus Archives</w:t>
      </w:r>
      <w:r w:rsidRPr="00166BE6">
        <w:rPr>
          <w:rFonts w:cs="Calibri"/>
        </w:rPr>
        <w:t xml:space="preserve"> – Solicitation and receipt of archival materials has increased slightly over the past year and a vertical/subject file has been implemented.</w:t>
      </w:r>
    </w:p>
    <w:p w:rsidR="00ED0797" w:rsidRPr="00166BE6" w:rsidRDefault="00ED0797" w:rsidP="00ED0797">
      <w:pPr>
        <w:ind w:firstLine="720"/>
        <w:rPr>
          <w:rFonts w:cs="Calibri"/>
        </w:rPr>
      </w:pPr>
      <w:r w:rsidRPr="00166BE6">
        <w:rPr>
          <w:rFonts w:cs="Calibri"/>
        </w:rPr>
        <w:t>•</w:t>
      </w:r>
      <w:r w:rsidRPr="00166BE6">
        <w:rPr>
          <w:rFonts w:cs="Calibri"/>
        </w:rPr>
        <w:tab/>
      </w:r>
      <w:r w:rsidRPr="004A46CB">
        <w:rPr>
          <w:rFonts w:cs="Calibri"/>
          <w:b/>
        </w:rPr>
        <w:t>Institutional Repository</w:t>
      </w:r>
      <w:r w:rsidRPr="00166BE6">
        <w:rPr>
          <w:rFonts w:cs="Calibri"/>
        </w:rPr>
        <w:t xml:space="preserve"> – Solicitation and deposit of electronic materials is ongoing.</w:t>
      </w:r>
    </w:p>
    <w:p w:rsidR="00ED0797" w:rsidRDefault="00ED0797" w:rsidP="00ED0797">
      <w:pPr>
        <w:ind w:left="1440" w:hanging="720"/>
        <w:rPr>
          <w:rFonts w:cs="Calibri"/>
        </w:rPr>
      </w:pPr>
      <w:r w:rsidRPr="00166BE6">
        <w:rPr>
          <w:rFonts w:cs="Calibri"/>
        </w:rPr>
        <w:t>•</w:t>
      </w:r>
      <w:r w:rsidRPr="00166BE6">
        <w:rPr>
          <w:rFonts w:cs="Calibri"/>
        </w:rPr>
        <w:tab/>
      </w:r>
      <w:r>
        <w:rPr>
          <w:rFonts w:cs="Calibri"/>
          <w:b/>
        </w:rPr>
        <w:t xml:space="preserve">Instruction </w:t>
      </w:r>
      <w:r>
        <w:rPr>
          <w:rFonts w:cs="Calibri"/>
        </w:rPr>
        <w:t xml:space="preserve">- </w:t>
      </w:r>
      <w:r w:rsidRPr="00166BE6">
        <w:rPr>
          <w:rFonts w:cs="Calibri"/>
        </w:rPr>
        <w:t>Catherine Downey served as a guest lecturer on archives and repositories for an introduction to public history class.</w:t>
      </w:r>
      <w:r w:rsidRPr="005315C6">
        <w:rPr>
          <w:rFonts w:cs="Calibri"/>
        </w:rPr>
        <w:t xml:space="preserve"> </w:t>
      </w:r>
    </w:p>
    <w:p w:rsidR="00ED0797" w:rsidRPr="00166BE6" w:rsidRDefault="00ED0797" w:rsidP="00ED0797">
      <w:pPr>
        <w:ind w:left="1440" w:hanging="720"/>
        <w:rPr>
          <w:rFonts w:cs="Calibri"/>
        </w:rPr>
      </w:pPr>
      <w:r w:rsidRPr="00166BE6">
        <w:rPr>
          <w:rFonts w:cs="Calibri"/>
        </w:rPr>
        <w:t>•</w:t>
      </w:r>
      <w:r w:rsidRPr="00166BE6">
        <w:rPr>
          <w:rFonts w:cs="Calibri"/>
        </w:rPr>
        <w:tab/>
      </w:r>
      <w:r>
        <w:rPr>
          <w:rFonts w:cs="Calibri"/>
          <w:b/>
        </w:rPr>
        <w:t xml:space="preserve">Employee Development </w:t>
      </w:r>
      <w:r>
        <w:rPr>
          <w:rFonts w:cs="Calibri"/>
        </w:rPr>
        <w:t>– Holly Heitman earned her MLIS from Valdosta State in December 2012</w:t>
      </w:r>
      <w:r w:rsidRPr="00166BE6">
        <w:rPr>
          <w:rFonts w:cs="Calibri"/>
        </w:rPr>
        <w:t>.</w:t>
      </w:r>
    </w:p>
    <w:p w:rsidR="00ED0797" w:rsidRPr="00166BE6" w:rsidRDefault="00ED0797" w:rsidP="00ED0797">
      <w:pPr>
        <w:ind w:left="1440" w:hanging="720"/>
        <w:rPr>
          <w:rFonts w:cs="Calibri"/>
        </w:rPr>
      </w:pPr>
    </w:p>
    <w:p w:rsidR="00ED0797" w:rsidRPr="00166BE6" w:rsidRDefault="009A68E5" w:rsidP="00ED0797">
      <w:pPr>
        <w:rPr>
          <w:rFonts w:cs="Calibri"/>
          <w:b/>
        </w:rPr>
      </w:pPr>
      <w:r>
        <w:rPr>
          <w:rFonts w:cs="Calibri"/>
          <w:b/>
        </w:rPr>
        <w:t xml:space="preserve">Goals for FY </w:t>
      </w:r>
      <w:r w:rsidR="00ED0797" w:rsidRPr="00166BE6">
        <w:rPr>
          <w:rFonts w:cs="Calibri"/>
          <w:b/>
        </w:rPr>
        <w:t>201</w:t>
      </w:r>
      <w:r w:rsidR="00ED0797">
        <w:rPr>
          <w:rFonts w:cs="Calibri"/>
          <w:b/>
        </w:rPr>
        <w:t>4</w:t>
      </w:r>
      <w:r w:rsidR="00ED0797" w:rsidRPr="00166BE6">
        <w:rPr>
          <w:rFonts w:cs="Calibri"/>
          <w:b/>
        </w:rPr>
        <w:t xml:space="preserve">: </w:t>
      </w:r>
    </w:p>
    <w:p w:rsidR="00ED0797" w:rsidRPr="00166BE6" w:rsidRDefault="00ED0797" w:rsidP="00ED0797">
      <w:pPr>
        <w:ind w:left="1440" w:hanging="720"/>
        <w:rPr>
          <w:rFonts w:cs="Calibri"/>
        </w:rPr>
      </w:pPr>
      <w:r w:rsidRPr="00166BE6">
        <w:rPr>
          <w:rFonts w:cs="Calibri"/>
        </w:rPr>
        <w:t>•</w:t>
      </w:r>
      <w:r w:rsidRPr="00166BE6">
        <w:rPr>
          <w:rFonts w:cs="Calibri"/>
        </w:rPr>
        <w:tab/>
      </w:r>
      <w:r w:rsidRPr="004A46CB">
        <w:rPr>
          <w:rFonts w:cs="Calibri"/>
          <w:b/>
        </w:rPr>
        <w:t>Records Retention &amp; Archives</w:t>
      </w:r>
      <w:r w:rsidRPr="00166BE6">
        <w:rPr>
          <w:rFonts w:cs="Calibri"/>
        </w:rPr>
        <w:t xml:space="preserve"> - Serve as the contact department in the Library for records retention activities. Continue to work with Library Director to anticipate the needs of the campus.  </w:t>
      </w:r>
    </w:p>
    <w:p w:rsidR="00ED0797" w:rsidRPr="00166BE6" w:rsidRDefault="00ED0797" w:rsidP="00ED0797">
      <w:pPr>
        <w:ind w:left="1440" w:hanging="720"/>
        <w:rPr>
          <w:rFonts w:cs="Calibri"/>
        </w:rPr>
      </w:pPr>
      <w:r w:rsidRPr="00166BE6">
        <w:rPr>
          <w:rFonts w:cs="Calibri"/>
        </w:rPr>
        <w:t>•</w:t>
      </w:r>
      <w:r w:rsidRPr="00166BE6">
        <w:rPr>
          <w:rFonts w:cs="Calibri"/>
        </w:rPr>
        <w:tab/>
      </w:r>
      <w:r w:rsidRPr="004A46CB">
        <w:rPr>
          <w:rFonts w:cs="Calibri"/>
          <w:b/>
        </w:rPr>
        <w:t>GALILEO Knowledge Repository</w:t>
      </w:r>
      <w:r w:rsidRPr="00166BE6">
        <w:rPr>
          <w:rFonts w:cs="Calibri"/>
        </w:rPr>
        <w:t xml:space="preserve"> – Expand the repository and continue soliciting materials from campus as we </w:t>
      </w:r>
      <w:r>
        <w:rPr>
          <w:rFonts w:cs="Calibri"/>
        </w:rPr>
        <w:t xml:space="preserve">continue the </w:t>
      </w:r>
      <w:r w:rsidRPr="00166BE6">
        <w:rPr>
          <w:rFonts w:cs="Calibri"/>
        </w:rPr>
        <w:t xml:space="preserve">transition from </w:t>
      </w:r>
      <w:r>
        <w:rPr>
          <w:rFonts w:cs="Calibri"/>
        </w:rPr>
        <w:t>the GKR grant to post grant sustainability</w:t>
      </w:r>
      <w:r w:rsidRPr="00166BE6">
        <w:rPr>
          <w:rFonts w:cs="Calibri"/>
        </w:rPr>
        <w:t>.</w:t>
      </w:r>
    </w:p>
    <w:p w:rsidR="00ED0797" w:rsidRDefault="00ED0797" w:rsidP="00ED0797">
      <w:pPr>
        <w:ind w:left="1440" w:hanging="720"/>
        <w:rPr>
          <w:rFonts w:cs="Calibri"/>
        </w:rPr>
      </w:pPr>
      <w:r w:rsidRPr="00166BE6">
        <w:rPr>
          <w:rFonts w:cs="Calibri"/>
        </w:rPr>
        <w:t>•</w:t>
      </w:r>
      <w:r w:rsidRPr="00166BE6">
        <w:rPr>
          <w:rFonts w:cs="Calibri"/>
        </w:rPr>
        <w:tab/>
      </w:r>
      <w:r w:rsidRPr="004A46CB">
        <w:rPr>
          <w:rFonts w:cs="Calibri"/>
          <w:b/>
        </w:rPr>
        <w:t>Staffing</w:t>
      </w:r>
      <w:r w:rsidRPr="00166BE6">
        <w:rPr>
          <w:rFonts w:cs="Calibri"/>
        </w:rPr>
        <w:t xml:space="preserve"> – Continue reviewing Access Services staff and reorganizing as necessary to provide the best service possible in line with budget and personnel constraints.</w:t>
      </w:r>
    </w:p>
    <w:p w:rsidR="00ED0797" w:rsidRDefault="00ED0797" w:rsidP="00ED0797">
      <w:pPr>
        <w:ind w:left="1440" w:hanging="720"/>
        <w:rPr>
          <w:rFonts w:cs="Calibri"/>
        </w:rPr>
      </w:pPr>
    </w:p>
    <w:p w:rsidR="00ED0797" w:rsidRDefault="00ED0797" w:rsidP="00ED0797">
      <w:pPr>
        <w:ind w:left="720"/>
        <w:jc w:val="center"/>
        <w:rPr>
          <w:rFonts w:ascii="Cambria" w:hAnsi="Cambria"/>
          <w:b/>
          <w:sz w:val="24"/>
          <w:szCs w:val="24"/>
        </w:rPr>
      </w:pPr>
    </w:p>
    <w:p w:rsidR="00ED0797" w:rsidRDefault="00ED0797" w:rsidP="00ED0797">
      <w:pPr>
        <w:ind w:left="720"/>
        <w:jc w:val="center"/>
        <w:rPr>
          <w:rFonts w:ascii="Cambria" w:hAnsi="Cambria"/>
          <w:b/>
          <w:sz w:val="24"/>
          <w:szCs w:val="24"/>
        </w:rPr>
      </w:pPr>
    </w:p>
    <w:p w:rsidR="00ED0797" w:rsidRDefault="00ED0797" w:rsidP="00ED0797">
      <w:pPr>
        <w:ind w:left="720"/>
        <w:jc w:val="center"/>
        <w:rPr>
          <w:rFonts w:ascii="Cambria" w:hAnsi="Cambria"/>
          <w:b/>
          <w:sz w:val="24"/>
          <w:szCs w:val="24"/>
        </w:rPr>
      </w:pPr>
    </w:p>
    <w:p w:rsidR="00ED0797" w:rsidRDefault="00ED0797" w:rsidP="00ED0797">
      <w:pPr>
        <w:ind w:left="720"/>
        <w:jc w:val="center"/>
        <w:rPr>
          <w:rFonts w:ascii="Cambria" w:hAnsi="Cambria"/>
          <w:b/>
          <w:sz w:val="24"/>
          <w:szCs w:val="24"/>
        </w:rPr>
      </w:pPr>
    </w:p>
    <w:p w:rsidR="00ED0797" w:rsidRDefault="00ED0797" w:rsidP="00ED0797">
      <w:pPr>
        <w:ind w:left="720"/>
        <w:jc w:val="center"/>
        <w:rPr>
          <w:rFonts w:ascii="Cambria" w:hAnsi="Cambria"/>
          <w:b/>
          <w:sz w:val="24"/>
          <w:szCs w:val="24"/>
        </w:rPr>
      </w:pPr>
    </w:p>
    <w:p w:rsidR="00ED0797" w:rsidRDefault="00ED0797">
      <w:r>
        <w:br w:type="page"/>
      </w:r>
    </w:p>
    <w:p w:rsidR="00ED0797" w:rsidRPr="00E40C53" w:rsidRDefault="00ED0797" w:rsidP="00C52FFA">
      <w:pPr>
        <w:pStyle w:val="NormalWeb"/>
        <w:spacing w:before="0" w:beforeAutospacing="0" w:after="0" w:afterAutospacing="0"/>
        <w:outlineLvl w:val="0"/>
        <w:rPr>
          <w:rFonts w:asciiTheme="minorHAnsi" w:hAnsiTheme="minorHAnsi"/>
        </w:rPr>
      </w:pPr>
      <w:r w:rsidRPr="00E40C53">
        <w:rPr>
          <w:rFonts w:asciiTheme="minorHAnsi" w:hAnsiTheme="minorHAnsi"/>
          <w:b/>
          <w:bCs/>
          <w:sz w:val="28"/>
          <w:szCs w:val="28"/>
        </w:rPr>
        <w:lastRenderedPageBreak/>
        <w:t>Collections</w:t>
      </w:r>
    </w:p>
    <w:p w:rsidR="00ED0797" w:rsidRPr="00E40C53" w:rsidRDefault="00ED0797" w:rsidP="00ED0797">
      <w:pPr>
        <w:pStyle w:val="NormalWeb"/>
        <w:spacing w:before="0" w:beforeAutospacing="0" w:after="0" w:afterAutospacing="0"/>
        <w:rPr>
          <w:rFonts w:asciiTheme="minorHAnsi" w:hAnsiTheme="minorHAnsi"/>
        </w:rPr>
      </w:pPr>
      <w:r w:rsidRPr="00E40C53">
        <w:rPr>
          <w:rFonts w:asciiTheme="minorHAnsi" w:hAnsiTheme="minorHAnsi"/>
        </w:rPr>
        <w:t xml:space="preserve">  </w:t>
      </w:r>
    </w:p>
    <w:p w:rsidR="00ED0797" w:rsidRPr="00E40C53" w:rsidRDefault="00ED0797" w:rsidP="00ED0797">
      <w:pPr>
        <w:pStyle w:val="NormalWeb"/>
        <w:spacing w:before="0" w:beforeAutospacing="0" w:after="0" w:afterAutospacing="0"/>
        <w:rPr>
          <w:rFonts w:asciiTheme="minorHAnsi" w:hAnsiTheme="minorHAnsi"/>
          <w:sz w:val="22"/>
          <w:szCs w:val="22"/>
        </w:rPr>
      </w:pPr>
      <w:r w:rsidRPr="00E40C53">
        <w:rPr>
          <w:rFonts w:asciiTheme="minorHAnsi" w:hAnsiTheme="minorHAnsi"/>
          <w:sz w:val="22"/>
          <w:szCs w:val="22"/>
        </w:rPr>
        <w:t>FY 13 found the Collections Department finishing a standardization of the departmental statistical reporting.   The process of reviewing the methods for gathering statistics identified several areas for improvement and the Collections area will continue to refine our statistical collection and reporting.</w:t>
      </w:r>
    </w:p>
    <w:p w:rsidR="00ED0797" w:rsidRPr="00E40C53" w:rsidRDefault="00ED0797" w:rsidP="00ED0797">
      <w:pPr>
        <w:pStyle w:val="NormalWeb"/>
        <w:spacing w:before="0" w:beforeAutospacing="0" w:after="0" w:afterAutospacing="0"/>
        <w:rPr>
          <w:rFonts w:asciiTheme="minorHAnsi" w:hAnsiTheme="minorHAnsi"/>
          <w:sz w:val="22"/>
          <w:szCs w:val="22"/>
        </w:rPr>
      </w:pPr>
    </w:p>
    <w:p w:rsidR="00ED0797" w:rsidRPr="00E40C53" w:rsidRDefault="00ED0797" w:rsidP="00ED0797">
      <w:pPr>
        <w:pStyle w:val="NormalWeb"/>
        <w:spacing w:before="0" w:beforeAutospacing="0" w:after="0" w:afterAutospacing="0"/>
        <w:rPr>
          <w:rFonts w:asciiTheme="minorHAnsi" w:hAnsiTheme="minorHAnsi"/>
          <w:sz w:val="22"/>
          <w:szCs w:val="22"/>
        </w:rPr>
      </w:pPr>
      <w:r w:rsidRPr="00E40C53">
        <w:rPr>
          <w:rFonts w:asciiTheme="minorHAnsi" w:hAnsiTheme="minorHAnsi"/>
          <w:sz w:val="22"/>
          <w:szCs w:val="22"/>
        </w:rPr>
        <w:t>Collections also began the process of designing a new program colle</w:t>
      </w:r>
      <w:r w:rsidR="00FF0526">
        <w:rPr>
          <w:rFonts w:asciiTheme="minorHAnsi" w:hAnsiTheme="minorHAnsi"/>
          <w:sz w:val="22"/>
          <w:szCs w:val="22"/>
        </w:rPr>
        <w:t>ction for the School of Allied H</w:t>
      </w:r>
      <w:r w:rsidRPr="00E40C53">
        <w:rPr>
          <w:rFonts w:asciiTheme="minorHAnsi" w:hAnsiTheme="minorHAnsi"/>
          <w:sz w:val="22"/>
          <w:szCs w:val="22"/>
        </w:rPr>
        <w:t>ea</w:t>
      </w:r>
      <w:r w:rsidR="00FF0526">
        <w:rPr>
          <w:rFonts w:asciiTheme="minorHAnsi" w:hAnsiTheme="minorHAnsi"/>
          <w:sz w:val="22"/>
          <w:szCs w:val="22"/>
        </w:rPr>
        <w:t>l</w:t>
      </w:r>
      <w:r w:rsidRPr="00E40C53">
        <w:rPr>
          <w:rFonts w:asciiTheme="minorHAnsi" w:hAnsiTheme="minorHAnsi"/>
          <w:sz w:val="22"/>
          <w:szCs w:val="22"/>
        </w:rPr>
        <w:t>th’s Nursing program.  Extensive coordination with the Dean of Allied Health and the Director of Nursing, as well as our vendors, has provided a solid plan for acquiring this complex set of resources.</w:t>
      </w:r>
    </w:p>
    <w:p w:rsidR="00ED0797" w:rsidRPr="00E40C53" w:rsidRDefault="00ED0797" w:rsidP="00ED0797">
      <w:pPr>
        <w:pStyle w:val="NormalWeb"/>
        <w:spacing w:before="0" w:beforeAutospacing="0" w:after="0" w:afterAutospacing="0"/>
        <w:rPr>
          <w:rFonts w:asciiTheme="minorHAnsi" w:hAnsiTheme="minorHAnsi"/>
          <w:sz w:val="22"/>
          <w:szCs w:val="22"/>
        </w:rPr>
      </w:pPr>
    </w:p>
    <w:p w:rsidR="00ED0797" w:rsidRPr="00E40C53" w:rsidRDefault="00ED0797" w:rsidP="00ED0797">
      <w:pPr>
        <w:pStyle w:val="NormalWeb"/>
        <w:spacing w:before="0" w:beforeAutospacing="0" w:after="0" w:afterAutospacing="0"/>
        <w:rPr>
          <w:rFonts w:asciiTheme="minorHAnsi" w:hAnsiTheme="minorHAnsi"/>
          <w:sz w:val="22"/>
          <w:szCs w:val="22"/>
        </w:rPr>
      </w:pPr>
      <w:r w:rsidRPr="00E40C53">
        <w:rPr>
          <w:rFonts w:asciiTheme="minorHAnsi" w:hAnsiTheme="minorHAnsi"/>
          <w:sz w:val="22"/>
          <w:szCs w:val="22"/>
        </w:rPr>
        <w:t xml:space="preserve">Collections completed an extensive review of all serial resources with an eye toward eliminating duplication.  A schedule for routine review of all serial titles was established. </w:t>
      </w:r>
    </w:p>
    <w:p w:rsidR="00ED0797" w:rsidRPr="00E40C53" w:rsidRDefault="00ED0797" w:rsidP="00ED0797">
      <w:pPr>
        <w:pStyle w:val="NormalWeb"/>
        <w:spacing w:before="0" w:beforeAutospacing="0" w:after="0" w:afterAutospacing="0"/>
        <w:rPr>
          <w:rFonts w:asciiTheme="minorHAnsi" w:hAnsiTheme="minorHAnsi"/>
          <w:sz w:val="22"/>
          <w:szCs w:val="22"/>
        </w:rPr>
      </w:pPr>
    </w:p>
    <w:p w:rsidR="00ED0797" w:rsidRPr="00E40C53" w:rsidRDefault="00ED0797" w:rsidP="00ED0797">
      <w:pPr>
        <w:pStyle w:val="NormalWeb"/>
        <w:spacing w:before="0" w:beforeAutospacing="0" w:after="0" w:afterAutospacing="0"/>
        <w:rPr>
          <w:rFonts w:asciiTheme="minorHAnsi" w:hAnsiTheme="minorHAnsi"/>
          <w:sz w:val="22"/>
          <w:szCs w:val="22"/>
        </w:rPr>
      </w:pPr>
      <w:r w:rsidRPr="00E40C53">
        <w:rPr>
          <w:rFonts w:asciiTheme="minorHAnsi" w:hAnsiTheme="minorHAnsi"/>
          <w:sz w:val="22"/>
          <w:szCs w:val="22"/>
        </w:rPr>
        <w:t xml:space="preserve">Collections researched and selected a vendor to offer a Demand </w:t>
      </w:r>
      <w:proofErr w:type="gramStart"/>
      <w:r w:rsidRPr="00E40C53">
        <w:rPr>
          <w:rFonts w:asciiTheme="minorHAnsi" w:hAnsiTheme="minorHAnsi"/>
          <w:sz w:val="22"/>
          <w:szCs w:val="22"/>
        </w:rPr>
        <w:t>Drive</w:t>
      </w:r>
      <w:r w:rsidR="00FF0526">
        <w:rPr>
          <w:rFonts w:asciiTheme="minorHAnsi" w:hAnsiTheme="minorHAnsi"/>
          <w:sz w:val="22"/>
          <w:szCs w:val="22"/>
        </w:rPr>
        <w:t xml:space="preserve">n </w:t>
      </w:r>
      <w:r w:rsidRPr="00E40C53">
        <w:rPr>
          <w:rFonts w:asciiTheme="minorHAnsi" w:hAnsiTheme="minorHAnsi"/>
          <w:sz w:val="22"/>
          <w:szCs w:val="22"/>
        </w:rPr>
        <w:t xml:space="preserve"> Acquisitions</w:t>
      </w:r>
      <w:proofErr w:type="gramEnd"/>
      <w:r w:rsidRPr="00E40C53">
        <w:rPr>
          <w:rFonts w:asciiTheme="minorHAnsi" w:hAnsiTheme="minorHAnsi"/>
          <w:sz w:val="22"/>
          <w:szCs w:val="22"/>
        </w:rPr>
        <w:t xml:space="preserve"> collection, which will be implemented in the fall of 2013. This plan will add over 20,000 titles to the GGC monograph collection.  Those titles will be purchased only once a GGC user has requested them.  The plan allows us to provide access to a robust collection of titles and to insure that we only purchase what our users specifically need.</w:t>
      </w:r>
    </w:p>
    <w:p w:rsidR="00ED0797" w:rsidRPr="00E40C53" w:rsidRDefault="00ED0797" w:rsidP="00ED0797">
      <w:pPr>
        <w:pStyle w:val="NormalWeb"/>
        <w:spacing w:before="0" w:beforeAutospacing="0" w:after="0" w:afterAutospacing="0"/>
        <w:rPr>
          <w:rFonts w:asciiTheme="minorHAnsi" w:hAnsiTheme="minorHAnsi"/>
          <w:sz w:val="22"/>
          <w:szCs w:val="22"/>
        </w:rPr>
      </w:pPr>
    </w:p>
    <w:p w:rsidR="00ED0797" w:rsidRPr="00E40C53" w:rsidRDefault="00ED0797" w:rsidP="00ED0797">
      <w:pPr>
        <w:pStyle w:val="NormalWeb"/>
        <w:spacing w:before="0" w:beforeAutospacing="0" w:after="0" w:afterAutospacing="0"/>
        <w:rPr>
          <w:rFonts w:asciiTheme="minorHAnsi" w:hAnsiTheme="minorHAnsi"/>
          <w:sz w:val="22"/>
          <w:szCs w:val="22"/>
        </w:rPr>
      </w:pPr>
      <w:r w:rsidRPr="00E40C53">
        <w:rPr>
          <w:rFonts w:asciiTheme="minorHAnsi" w:hAnsiTheme="minorHAnsi"/>
          <w:sz w:val="22"/>
          <w:szCs w:val="22"/>
        </w:rPr>
        <w:t>The area is managed by the Head of Collections, aided by the Resource Management Librarian and the Acquisitions Librarian as well as an LA III for Collections. The Collections department is responsible for maintaining, selecting, ordering, processing and cataloging the GGC library collection.</w:t>
      </w:r>
    </w:p>
    <w:p w:rsidR="00ED0797" w:rsidRPr="00E40C53" w:rsidRDefault="00ED0797" w:rsidP="00ED0797">
      <w:pPr>
        <w:pStyle w:val="NormalWeb"/>
        <w:spacing w:before="0" w:beforeAutospacing="0" w:after="0" w:afterAutospacing="0"/>
        <w:rPr>
          <w:rFonts w:asciiTheme="minorHAnsi" w:hAnsiTheme="minorHAnsi"/>
        </w:rPr>
      </w:pPr>
      <w:r w:rsidRPr="00E40C53">
        <w:rPr>
          <w:rFonts w:asciiTheme="minorHAnsi" w:hAnsiTheme="minorHAnsi"/>
        </w:rPr>
        <w:t xml:space="preserve">  </w:t>
      </w:r>
    </w:p>
    <w:p w:rsidR="00ED0797" w:rsidRPr="00E40C53" w:rsidRDefault="00ED0797" w:rsidP="00ED0797">
      <w:pPr>
        <w:pStyle w:val="NormalWeb"/>
        <w:spacing w:before="0" w:beforeAutospacing="0" w:after="0" w:afterAutospacing="0"/>
        <w:outlineLvl w:val="0"/>
        <w:rPr>
          <w:rFonts w:asciiTheme="minorHAnsi" w:hAnsiTheme="minorHAnsi"/>
        </w:rPr>
      </w:pPr>
      <w:r w:rsidRPr="00E40C53">
        <w:rPr>
          <w:rFonts w:asciiTheme="minorHAnsi" w:hAnsiTheme="minorHAnsi"/>
          <w:b/>
          <w:bCs/>
        </w:rPr>
        <w:t>Activities for FY 2013</w:t>
      </w:r>
      <w:r w:rsidRPr="00E40C53">
        <w:rPr>
          <w:rFonts w:asciiTheme="minorHAnsi" w:hAnsiTheme="minorHAnsi"/>
        </w:rPr>
        <w:t xml:space="preserve">: </w:t>
      </w:r>
    </w:p>
    <w:p w:rsidR="00ED0797" w:rsidRPr="00E40C53" w:rsidRDefault="00ED0797" w:rsidP="00ED0797">
      <w:pPr>
        <w:pStyle w:val="NormalWeb"/>
        <w:spacing w:before="0" w:beforeAutospacing="0" w:after="0" w:afterAutospacing="0"/>
        <w:rPr>
          <w:rFonts w:asciiTheme="minorHAnsi" w:hAnsiTheme="minorHAnsi"/>
        </w:rPr>
      </w:pPr>
      <w:r w:rsidRPr="00E40C53">
        <w:rPr>
          <w:rFonts w:asciiTheme="minorHAnsi" w:hAnsiTheme="minorHAnsi"/>
        </w:rPr>
        <w:t xml:space="preserve">   </w:t>
      </w:r>
    </w:p>
    <w:p w:rsidR="00ED0797" w:rsidRPr="00E40C53" w:rsidRDefault="00ED0797" w:rsidP="00ED0797">
      <w:pPr>
        <w:pStyle w:val="NormalWeb"/>
        <w:numPr>
          <w:ilvl w:val="0"/>
          <w:numId w:val="4"/>
        </w:numPr>
        <w:spacing w:before="0" w:beforeAutospacing="0" w:after="0" w:afterAutospacing="0"/>
        <w:rPr>
          <w:rFonts w:asciiTheme="minorHAnsi" w:eastAsiaTheme="minorHAnsi" w:hAnsiTheme="minorHAnsi" w:cs="Tahoma"/>
          <w:sz w:val="22"/>
          <w:szCs w:val="22"/>
        </w:rPr>
      </w:pPr>
      <w:r w:rsidRPr="00E40C53">
        <w:rPr>
          <w:rFonts w:asciiTheme="minorHAnsi" w:eastAsiaTheme="minorHAnsi" w:hAnsiTheme="minorHAnsi" w:cs="Tahoma"/>
          <w:sz w:val="22"/>
          <w:szCs w:val="22"/>
        </w:rPr>
        <w:t>Established an E Book purchase plan with our primary vendor, Baker &amp; Taylor.</w:t>
      </w:r>
    </w:p>
    <w:p w:rsidR="00ED0797" w:rsidRPr="00E40C53" w:rsidRDefault="00ED0797" w:rsidP="00ED0797">
      <w:pPr>
        <w:pStyle w:val="NormalWeb"/>
        <w:numPr>
          <w:ilvl w:val="0"/>
          <w:numId w:val="4"/>
        </w:numPr>
        <w:spacing w:before="0" w:beforeAutospacing="0" w:after="0" w:afterAutospacing="0"/>
        <w:rPr>
          <w:rFonts w:asciiTheme="minorHAnsi" w:eastAsiaTheme="minorHAnsi" w:hAnsiTheme="minorHAnsi" w:cs="Tahoma"/>
          <w:sz w:val="22"/>
          <w:szCs w:val="22"/>
        </w:rPr>
      </w:pPr>
      <w:r w:rsidRPr="00E40C53">
        <w:rPr>
          <w:rFonts w:asciiTheme="minorHAnsi" w:eastAsiaTheme="minorHAnsi" w:hAnsiTheme="minorHAnsi" w:cs="Tahoma"/>
          <w:sz w:val="22"/>
          <w:szCs w:val="22"/>
        </w:rPr>
        <w:t>Established additional E resource purchase agreements with vendors, GALE and EBSCO.</w:t>
      </w:r>
    </w:p>
    <w:p w:rsidR="00ED0797" w:rsidRPr="00E40C53" w:rsidRDefault="00ED0797" w:rsidP="00ED0797">
      <w:pPr>
        <w:pStyle w:val="NormalWeb"/>
        <w:numPr>
          <w:ilvl w:val="0"/>
          <w:numId w:val="4"/>
        </w:numPr>
        <w:spacing w:before="0" w:beforeAutospacing="0" w:after="0" w:afterAutospacing="0"/>
        <w:rPr>
          <w:rFonts w:asciiTheme="minorHAnsi" w:eastAsiaTheme="minorHAnsi" w:hAnsiTheme="minorHAnsi" w:cs="Tahoma"/>
          <w:sz w:val="22"/>
          <w:szCs w:val="22"/>
        </w:rPr>
      </w:pPr>
      <w:r w:rsidRPr="00E40C53">
        <w:rPr>
          <w:rFonts w:asciiTheme="minorHAnsi" w:eastAsiaTheme="minorHAnsi" w:hAnsiTheme="minorHAnsi" w:cs="Tahoma"/>
          <w:sz w:val="22"/>
          <w:szCs w:val="22"/>
        </w:rPr>
        <w:t>Selected a vendor to provide a new DDA plan, which will be fully implemented in the fall of 2013.</w:t>
      </w:r>
    </w:p>
    <w:p w:rsidR="00ED0797" w:rsidRPr="00E40C53" w:rsidRDefault="00ED0797" w:rsidP="00ED0797">
      <w:pPr>
        <w:pStyle w:val="NormalWeb"/>
        <w:numPr>
          <w:ilvl w:val="0"/>
          <w:numId w:val="4"/>
        </w:numPr>
        <w:spacing w:before="0" w:beforeAutospacing="0" w:after="0" w:afterAutospacing="0"/>
        <w:rPr>
          <w:rFonts w:asciiTheme="minorHAnsi" w:eastAsiaTheme="minorHAnsi" w:hAnsiTheme="minorHAnsi" w:cs="Tahoma"/>
          <w:sz w:val="22"/>
          <w:szCs w:val="22"/>
        </w:rPr>
      </w:pPr>
      <w:r w:rsidRPr="00E40C53">
        <w:rPr>
          <w:rFonts w:asciiTheme="minorHAnsi" w:eastAsiaTheme="minorHAnsi" w:hAnsiTheme="minorHAnsi" w:cs="Tahoma"/>
          <w:sz w:val="22"/>
          <w:szCs w:val="22"/>
        </w:rPr>
        <w:t>Added over 10,000 monograph titles to the collection.</w:t>
      </w:r>
    </w:p>
    <w:p w:rsidR="00ED0797" w:rsidRPr="00E40C53" w:rsidRDefault="00ED0797" w:rsidP="00ED0797">
      <w:pPr>
        <w:pStyle w:val="NormalWeb"/>
        <w:spacing w:before="0" w:beforeAutospacing="0" w:after="0" w:afterAutospacing="0"/>
        <w:rPr>
          <w:rFonts w:asciiTheme="minorHAnsi" w:eastAsiaTheme="minorHAnsi" w:hAnsiTheme="minorHAnsi" w:cs="Tahoma"/>
          <w:sz w:val="22"/>
          <w:szCs w:val="22"/>
        </w:rPr>
      </w:pPr>
    </w:p>
    <w:p w:rsidR="00ED0797" w:rsidRPr="00E40C53" w:rsidRDefault="009A68E5" w:rsidP="00ED0797">
      <w:pPr>
        <w:pStyle w:val="NormalWeb"/>
        <w:spacing w:before="0" w:beforeAutospacing="0" w:after="0" w:afterAutospacing="0"/>
        <w:rPr>
          <w:rFonts w:asciiTheme="minorHAnsi" w:eastAsiaTheme="minorHAnsi" w:hAnsiTheme="minorHAnsi" w:cs="Tahoma"/>
          <w:b/>
        </w:rPr>
      </w:pPr>
      <w:r>
        <w:rPr>
          <w:rFonts w:asciiTheme="minorHAnsi" w:eastAsiaTheme="minorHAnsi" w:hAnsiTheme="minorHAnsi" w:cs="Tahoma"/>
          <w:b/>
        </w:rPr>
        <w:t>Collection Goals for FY 2014</w:t>
      </w:r>
      <w:r w:rsidR="00ED0797" w:rsidRPr="00E40C53">
        <w:rPr>
          <w:rFonts w:asciiTheme="minorHAnsi" w:eastAsiaTheme="minorHAnsi" w:hAnsiTheme="minorHAnsi" w:cs="Tahoma"/>
          <w:b/>
        </w:rPr>
        <w:t>:</w:t>
      </w:r>
    </w:p>
    <w:p w:rsidR="00ED0797" w:rsidRPr="00E40C53" w:rsidRDefault="00ED0797" w:rsidP="00ED0797">
      <w:pPr>
        <w:pStyle w:val="NormalWeb"/>
        <w:spacing w:before="0" w:beforeAutospacing="0" w:after="0" w:afterAutospacing="0"/>
        <w:rPr>
          <w:rFonts w:asciiTheme="minorHAnsi" w:eastAsiaTheme="minorHAnsi" w:hAnsiTheme="minorHAnsi" w:cs="Tahoma"/>
          <w:sz w:val="22"/>
          <w:szCs w:val="22"/>
        </w:rPr>
      </w:pPr>
    </w:p>
    <w:p w:rsidR="00ED0797" w:rsidRPr="00E40C53" w:rsidRDefault="00ED0797" w:rsidP="00ED0797">
      <w:pPr>
        <w:pStyle w:val="NormalWeb"/>
        <w:numPr>
          <w:ilvl w:val="0"/>
          <w:numId w:val="3"/>
        </w:numPr>
        <w:spacing w:before="0" w:beforeAutospacing="0" w:after="0" w:afterAutospacing="0"/>
        <w:rPr>
          <w:rFonts w:asciiTheme="minorHAnsi" w:eastAsiaTheme="minorHAnsi" w:hAnsiTheme="minorHAnsi" w:cs="Tahoma"/>
          <w:sz w:val="22"/>
          <w:szCs w:val="22"/>
        </w:rPr>
      </w:pPr>
      <w:proofErr w:type="gramStart"/>
      <w:r w:rsidRPr="00E40C53">
        <w:rPr>
          <w:rFonts w:asciiTheme="minorHAnsi" w:eastAsiaTheme="minorHAnsi" w:hAnsiTheme="minorHAnsi" w:cs="Tahoma"/>
          <w:sz w:val="22"/>
          <w:szCs w:val="22"/>
        </w:rPr>
        <w:t>Select,</w:t>
      </w:r>
      <w:proofErr w:type="gramEnd"/>
      <w:r w:rsidRPr="00E40C53">
        <w:rPr>
          <w:rFonts w:asciiTheme="minorHAnsi" w:eastAsiaTheme="minorHAnsi" w:hAnsiTheme="minorHAnsi" w:cs="Tahoma"/>
          <w:sz w:val="22"/>
          <w:szCs w:val="22"/>
        </w:rPr>
        <w:t xml:space="preserve"> order and acquire the core resources for the Nursing program.</w:t>
      </w:r>
    </w:p>
    <w:p w:rsidR="00ED0797" w:rsidRPr="00E40C53" w:rsidRDefault="00FF0526" w:rsidP="00ED0797">
      <w:pPr>
        <w:pStyle w:val="NormalWeb"/>
        <w:numPr>
          <w:ilvl w:val="0"/>
          <w:numId w:val="3"/>
        </w:numPr>
        <w:spacing w:before="0" w:beforeAutospacing="0" w:after="0" w:afterAutospacing="0"/>
        <w:rPr>
          <w:rFonts w:asciiTheme="minorHAnsi" w:eastAsiaTheme="minorHAnsi" w:hAnsiTheme="minorHAnsi" w:cs="Tahoma"/>
          <w:sz w:val="22"/>
          <w:szCs w:val="22"/>
        </w:rPr>
      </w:pPr>
      <w:r>
        <w:rPr>
          <w:rFonts w:asciiTheme="minorHAnsi" w:eastAsiaTheme="minorHAnsi" w:hAnsiTheme="minorHAnsi" w:cs="Tahoma"/>
          <w:sz w:val="22"/>
          <w:szCs w:val="22"/>
        </w:rPr>
        <w:t xml:space="preserve">Implement and refine the </w:t>
      </w:r>
      <w:r w:rsidR="00ED0797" w:rsidRPr="00E40C53">
        <w:rPr>
          <w:rFonts w:asciiTheme="minorHAnsi" w:eastAsiaTheme="minorHAnsi" w:hAnsiTheme="minorHAnsi" w:cs="Tahoma"/>
          <w:sz w:val="22"/>
          <w:szCs w:val="22"/>
        </w:rPr>
        <w:t>DDA plan.</w:t>
      </w:r>
    </w:p>
    <w:p w:rsidR="00ED0797" w:rsidRDefault="00ED0797" w:rsidP="00ED0797">
      <w:pPr>
        <w:pStyle w:val="NormalWeb"/>
        <w:numPr>
          <w:ilvl w:val="0"/>
          <w:numId w:val="3"/>
        </w:numPr>
        <w:spacing w:before="0" w:beforeAutospacing="0" w:after="0" w:afterAutospacing="0"/>
        <w:rPr>
          <w:rFonts w:asciiTheme="minorHAnsi" w:hAnsiTheme="minorHAnsi"/>
          <w:sz w:val="22"/>
          <w:szCs w:val="22"/>
        </w:rPr>
      </w:pPr>
      <w:r w:rsidRPr="00E40C53">
        <w:rPr>
          <w:rFonts w:asciiTheme="minorHAnsi" w:hAnsiTheme="minorHAnsi"/>
          <w:sz w:val="22"/>
          <w:szCs w:val="22"/>
        </w:rPr>
        <w:t>Add at least 10,000 monographs to the collection.</w:t>
      </w:r>
    </w:p>
    <w:p w:rsidR="00E40C53" w:rsidRDefault="00E40C53" w:rsidP="00E40C53">
      <w:pPr>
        <w:pStyle w:val="NormalWeb"/>
        <w:spacing w:before="0" w:beforeAutospacing="0" w:after="0" w:afterAutospacing="0"/>
        <w:rPr>
          <w:rFonts w:asciiTheme="minorHAnsi" w:hAnsiTheme="minorHAnsi"/>
          <w:sz w:val="22"/>
          <w:szCs w:val="22"/>
        </w:rPr>
      </w:pPr>
    </w:p>
    <w:p w:rsidR="00E40C53" w:rsidRDefault="00E40C53">
      <w:pPr>
        <w:rPr>
          <w:rFonts w:asciiTheme="minorHAnsi" w:eastAsia="Times New Roman" w:hAnsiTheme="minorHAnsi"/>
        </w:rPr>
      </w:pPr>
      <w:r>
        <w:rPr>
          <w:rFonts w:asciiTheme="minorHAnsi" w:hAnsiTheme="minorHAnsi"/>
        </w:rPr>
        <w:br w:type="page"/>
      </w:r>
    </w:p>
    <w:p w:rsidR="00E40C53" w:rsidRPr="00E40C53" w:rsidRDefault="00E40C53" w:rsidP="00E40C53">
      <w:pPr>
        <w:pStyle w:val="NormalWeb"/>
        <w:spacing w:before="0" w:beforeAutospacing="0" w:after="0" w:afterAutospacing="0"/>
        <w:rPr>
          <w:rFonts w:asciiTheme="minorHAnsi" w:hAnsiTheme="minorHAnsi"/>
          <w:sz w:val="22"/>
          <w:szCs w:val="22"/>
        </w:rPr>
      </w:pPr>
    </w:p>
    <w:p w:rsidR="00ED0797" w:rsidRPr="00166BE6" w:rsidRDefault="00ED0797" w:rsidP="00ED0797">
      <w:pPr>
        <w:rPr>
          <w:rFonts w:cs="Calibri"/>
        </w:rPr>
      </w:pPr>
      <w:r w:rsidRPr="00166BE6">
        <w:rPr>
          <w:rStyle w:val="normalchar"/>
          <w:rFonts w:cs="Calibri"/>
          <w:b/>
          <w:bCs/>
          <w:sz w:val="28"/>
          <w:szCs w:val="28"/>
        </w:rPr>
        <w:t>Research Services</w:t>
      </w:r>
    </w:p>
    <w:p w:rsidR="00ED0797" w:rsidRPr="00E40C53" w:rsidRDefault="00ED0797" w:rsidP="00ED0797">
      <w:pPr>
        <w:pStyle w:val="Normal1"/>
        <w:rPr>
          <w:rFonts w:ascii="Calibri" w:hAnsi="Calibri" w:cs="Calibri"/>
          <w:sz w:val="22"/>
          <w:szCs w:val="22"/>
        </w:rPr>
      </w:pPr>
      <w:r w:rsidRPr="00E40C53">
        <w:rPr>
          <w:rStyle w:val="normalchar"/>
          <w:rFonts w:ascii="Calibri" w:hAnsi="Calibri" w:cs="Calibri"/>
          <w:sz w:val="22"/>
          <w:szCs w:val="22"/>
        </w:rPr>
        <w:t>The number of employees in the Research Services Department remained the same; the Head of Research Services, two full-time Reference and Instruction Librarians, and five part-time Reference Librarians. This static number of librarians is providing reference and library instruction services to a greatly increased population of students and faculty. The Reference Librarians are also working to help maintain order across the three public floors in the greatly increased space in the main library building.</w:t>
      </w:r>
    </w:p>
    <w:p w:rsidR="00ED0797" w:rsidRPr="00166BE6" w:rsidRDefault="00ED0797" w:rsidP="00ED0797">
      <w:pPr>
        <w:pStyle w:val="Normal1"/>
        <w:outlineLvl w:val="0"/>
        <w:rPr>
          <w:rFonts w:ascii="Calibri" w:hAnsi="Calibri" w:cs="Calibri"/>
        </w:rPr>
      </w:pPr>
      <w:r>
        <w:rPr>
          <w:rStyle w:val="normalchar"/>
          <w:rFonts w:ascii="Calibri" w:hAnsi="Calibri" w:cs="Calibri"/>
          <w:b/>
          <w:bCs/>
        </w:rPr>
        <w:t xml:space="preserve">Activities for </w:t>
      </w:r>
      <w:r w:rsidR="009A68E5">
        <w:rPr>
          <w:rStyle w:val="normalchar"/>
          <w:rFonts w:ascii="Calibri" w:hAnsi="Calibri" w:cs="Calibri"/>
          <w:b/>
          <w:bCs/>
        </w:rPr>
        <w:t xml:space="preserve">FY </w:t>
      </w:r>
      <w:r>
        <w:rPr>
          <w:rStyle w:val="normalchar"/>
          <w:rFonts w:ascii="Calibri" w:hAnsi="Calibri" w:cs="Calibri"/>
          <w:b/>
          <w:bCs/>
        </w:rPr>
        <w:t>2013</w:t>
      </w:r>
      <w:r w:rsidRPr="00166BE6">
        <w:rPr>
          <w:rStyle w:val="normalchar"/>
          <w:rFonts w:ascii="Calibri" w:hAnsi="Calibri" w:cs="Calibri"/>
        </w:rPr>
        <w:t>:</w:t>
      </w:r>
    </w:p>
    <w:p w:rsidR="00ED0797" w:rsidRPr="00E40C53" w:rsidRDefault="00ED0797" w:rsidP="00ED0797">
      <w:pPr>
        <w:pStyle w:val="Normal1"/>
        <w:numPr>
          <w:ilvl w:val="0"/>
          <w:numId w:val="5"/>
        </w:numPr>
        <w:ind w:left="720"/>
        <w:rPr>
          <w:rStyle w:val="normalchar"/>
          <w:rFonts w:ascii="Calibri" w:hAnsi="Calibri" w:cs="Calibri"/>
          <w:sz w:val="22"/>
          <w:szCs w:val="22"/>
        </w:rPr>
      </w:pPr>
      <w:r w:rsidRPr="00E40C53">
        <w:rPr>
          <w:rStyle w:val="normalchar"/>
          <w:rFonts w:ascii="Calibri" w:hAnsi="Calibri" w:cs="Calibri"/>
          <w:b/>
          <w:bCs/>
          <w:sz w:val="22"/>
          <w:szCs w:val="22"/>
        </w:rPr>
        <w:t xml:space="preserve">Communication and Training </w:t>
      </w:r>
      <w:r w:rsidRPr="00E40C53">
        <w:rPr>
          <w:rStyle w:val="normalchar"/>
          <w:rFonts w:ascii="Calibri" w:hAnsi="Calibri" w:cs="Calibri"/>
          <w:sz w:val="22"/>
          <w:szCs w:val="22"/>
        </w:rPr>
        <w:t xml:space="preserve">– With the increased demand for our services, the department continued the focus on keeping the part-time librarians up to date with resources, policy and other changes that affect reference service. The part-time reference librarians have made legitimate requests for more formal training and time working </w:t>
      </w:r>
      <w:proofErr w:type="spellStart"/>
      <w:r w:rsidRPr="00E40C53">
        <w:rPr>
          <w:rStyle w:val="normalchar"/>
          <w:rFonts w:ascii="Calibri" w:hAnsi="Calibri" w:cs="Calibri"/>
          <w:sz w:val="22"/>
          <w:szCs w:val="22"/>
        </w:rPr>
        <w:t>togeher</w:t>
      </w:r>
      <w:proofErr w:type="spellEnd"/>
      <w:r w:rsidRPr="00E40C53">
        <w:rPr>
          <w:rStyle w:val="normalchar"/>
          <w:rFonts w:ascii="Calibri" w:hAnsi="Calibri" w:cs="Calibri"/>
          <w:sz w:val="22"/>
          <w:szCs w:val="22"/>
        </w:rPr>
        <w:t>; however this has not been possible with the continued low level of staffing.</w:t>
      </w:r>
    </w:p>
    <w:p w:rsidR="00ED0797" w:rsidRPr="00E40C53" w:rsidRDefault="00ED0797" w:rsidP="00ED0797">
      <w:pPr>
        <w:pStyle w:val="Normal1"/>
        <w:numPr>
          <w:ilvl w:val="0"/>
          <w:numId w:val="5"/>
        </w:numPr>
        <w:ind w:left="720"/>
        <w:rPr>
          <w:rStyle w:val="normalchar"/>
          <w:rFonts w:ascii="Calibri" w:hAnsi="Calibri" w:cs="Calibri"/>
          <w:sz w:val="22"/>
          <w:szCs w:val="22"/>
        </w:rPr>
      </w:pPr>
      <w:r w:rsidRPr="00E40C53">
        <w:rPr>
          <w:rStyle w:val="normalchar"/>
          <w:rFonts w:ascii="Calibri" w:hAnsi="Calibri" w:cs="Calibri"/>
          <w:b/>
          <w:sz w:val="22"/>
          <w:szCs w:val="22"/>
        </w:rPr>
        <w:t>Reference Service</w:t>
      </w:r>
      <w:r w:rsidRPr="00E40C53">
        <w:rPr>
          <w:rStyle w:val="normalchar"/>
          <w:rFonts w:ascii="Calibri" w:hAnsi="Calibri" w:cs="Calibri"/>
          <w:sz w:val="22"/>
          <w:szCs w:val="22"/>
        </w:rPr>
        <w:t xml:space="preserve"> – </w:t>
      </w:r>
    </w:p>
    <w:p w:rsidR="00ED0797" w:rsidRPr="00E40C53" w:rsidRDefault="00ED0797" w:rsidP="00ED0797">
      <w:pPr>
        <w:pStyle w:val="Normal1"/>
        <w:numPr>
          <w:ilvl w:val="0"/>
          <w:numId w:val="5"/>
        </w:numPr>
        <w:ind w:left="720"/>
        <w:rPr>
          <w:rStyle w:val="normalchar"/>
          <w:rFonts w:ascii="Calibri" w:hAnsi="Calibri" w:cs="Calibri"/>
          <w:sz w:val="22"/>
          <w:szCs w:val="22"/>
        </w:rPr>
      </w:pPr>
      <w:r w:rsidRPr="00E40C53">
        <w:rPr>
          <w:rStyle w:val="normalchar"/>
          <w:rFonts w:ascii="Calibri" w:hAnsi="Calibri" w:cs="Calibri"/>
          <w:sz w:val="22"/>
          <w:szCs w:val="22"/>
        </w:rPr>
        <w:t xml:space="preserve">The Reference Statistics show another year with a decrease in the number of questions presented to the Reference Desk. However, even casual observation shows that the desk is busier than ever. This discrepancy is due to several factors: </w:t>
      </w:r>
    </w:p>
    <w:p w:rsidR="00ED0797" w:rsidRPr="00E40C53" w:rsidRDefault="00FF0526" w:rsidP="00ED0797">
      <w:pPr>
        <w:pStyle w:val="Normal1"/>
        <w:numPr>
          <w:ilvl w:val="1"/>
          <w:numId w:val="5"/>
        </w:numPr>
        <w:rPr>
          <w:rStyle w:val="normalchar"/>
          <w:rFonts w:ascii="Calibri" w:hAnsi="Calibri" w:cs="Calibri"/>
          <w:sz w:val="22"/>
          <w:szCs w:val="22"/>
        </w:rPr>
      </w:pPr>
      <w:r>
        <w:rPr>
          <w:rStyle w:val="normalchar"/>
          <w:rFonts w:ascii="Calibri" w:hAnsi="Calibri" w:cs="Calibri"/>
          <w:sz w:val="22"/>
          <w:szCs w:val="22"/>
        </w:rPr>
        <w:t>Under-rep</w:t>
      </w:r>
      <w:r w:rsidR="00ED0797" w:rsidRPr="00E40C53">
        <w:rPr>
          <w:rStyle w:val="normalchar"/>
          <w:rFonts w:ascii="Calibri" w:hAnsi="Calibri" w:cs="Calibri"/>
          <w:sz w:val="22"/>
          <w:szCs w:val="22"/>
        </w:rPr>
        <w:t>orting of statistics. Reference librarians confirm that this is the case during very busy times at the desk.</w:t>
      </w:r>
    </w:p>
    <w:p w:rsidR="00ED0797" w:rsidRPr="00E40C53" w:rsidRDefault="00ED0797" w:rsidP="00ED0797">
      <w:pPr>
        <w:pStyle w:val="Normal1"/>
        <w:numPr>
          <w:ilvl w:val="1"/>
          <w:numId w:val="5"/>
        </w:numPr>
        <w:rPr>
          <w:rStyle w:val="normalchar"/>
          <w:rFonts w:ascii="Calibri" w:hAnsi="Calibri" w:cs="Calibri"/>
          <w:sz w:val="22"/>
          <w:szCs w:val="22"/>
        </w:rPr>
      </w:pPr>
      <w:r w:rsidRPr="00E40C53">
        <w:rPr>
          <w:rStyle w:val="normalchar"/>
          <w:rFonts w:ascii="Calibri" w:hAnsi="Calibri" w:cs="Calibri"/>
          <w:sz w:val="22"/>
          <w:szCs w:val="22"/>
        </w:rPr>
        <w:t>The increase in Library Instruction Classes results in more students being more familiar with the availability and use of library resources, leading to fewer in-depth questions at the Reference Desk.</w:t>
      </w:r>
    </w:p>
    <w:p w:rsidR="00ED0797" w:rsidRPr="00E40C53" w:rsidRDefault="00ED0797" w:rsidP="00ED0797">
      <w:pPr>
        <w:pStyle w:val="Normal1"/>
        <w:numPr>
          <w:ilvl w:val="1"/>
          <w:numId w:val="5"/>
        </w:numPr>
        <w:rPr>
          <w:rStyle w:val="normalchar"/>
          <w:rFonts w:ascii="Calibri" w:hAnsi="Calibri" w:cs="Calibri"/>
          <w:sz w:val="22"/>
          <w:szCs w:val="22"/>
        </w:rPr>
      </w:pPr>
      <w:r w:rsidRPr="00E40C53">
        <w:rPr>
          <w:rStyle w:val="normalchar"/>
          <w:rFonts w:ascii="Calibri" w:hAnsi="Calibri" w:cs="Calibri"/>
          <w:sz w:val="22"/>
          <w:szCs w:val="22"/>
        </w:rPr>
        <w:t>Patrons exhibit little patience with waiting and often walk away when the librarian at the desk is busy and there is no one else available.</w:t>
      </w:r>
    </w:p>
    <w:p w:rsidR="00ED0797" w:rsidRPr="00E40C53" w:rsidRDefault="00ED0797" w:rsidP="00ED0797">
      <w:pPr>
        <w:pStyle w:val="Normal1"/>
        <w:ind w:left="720"/>
        <w:rPr>
          <w:rStyle w:val="normalchar"/>
          <w:rFonts w:ascii="Calibri" w:hAnsi="Calibri" w:cs="Calibri"/>
          <w:sz w:val="22"/>
          <w:szCs w:val="22"/>
        </w:rPr>
      </w:pPr>
      <w:r w:rsidRPr="00E40C53">
        <w:rPr>
          <w:rStyle w:val="normalchar"/>
          <w:rFonts w:ascii="Calibri" w:hAnsi="Calibri" w:cs="Calibri"/>
          <w:sz w:val="22"/>
          <w:szCs w:val="22"/>
        </w:rPr>
        <w:t>The Reference Desk seems to have reached capacity for answering patron questions with the current staffing. Two librarians at the Reference Desk during the busiest parts of the day would be beneficial; however Research Services does not have enough librarians available for anything other than occasional double-staffing at the Reference Desk.</w:t>
      </w:r>
    </w:p>
    <w:p w:rsidR="00E40C53" w:rsidRPr="00E40C53" w:rsidRDefault="00ED0797" w:rsidP="00ED0797">
      <w:pPr>
        <w:pStyle w:val="Normal1"/>
        <w:numPr>
          <w:ilvl w:val="0"/>
          <w:numId w:val="5"/>
        </w:numPr>
        <w:ind w:left="720"/>
        <w:rPr>
          <w:rFonts w:ascii="Calibri" w:hAnsi="Calibri" w:cs="Calibri"/>
          <w:sz w:val="22"/>
          <w:szCs w:val="22"/>
        </w:rPr>
      </w:pPr>
      <w:r w:rsidRPr="00E40C53">
        <w:rPr>
          <w:rStyle w:val="normalchar"/>
          <w:rFonts w:ascii="Calibri" w:hAnsi="Calibri" w:cs="Calibri"/>
          <w:b/>
          <w:sz w:val="22"/>
          <w:szCs w:val="22"/>
        </w:rPr>
        <w:t>Library Instruction Service</w:t>
      </w:r>
      <w:r w:rsidRPr="00E40C53">
        <w:rPr>
          <w:rStyle w:val="normalchar"/>
          <w:rFonts w:ascii="Calibri" w:hAnsi="Calibri" w:cs="Calibri"/>
          <w:sz w:val="22"/>
          <w:szCs w:val="22"/>
        </w:rPr>
        <w:t xml:space="preserve"> – </w:t>
      </w:r>
      <w:r w:rsidRPr="00E40C53">
        <w:rPr>
          <w:rFonts w:ascii="Calibri" w:hAnsi="Calibri" w:cs="Calibri"/>
          <w:color w:val="000000"/>
          <w:sz w:val="22"/>
          <w:szCs w:val="22"/>
        </w:rPr>
        <w:t>In FY 2012, Research Services taught 269 library instruction sessions. In FY 2013, Research Services taught 350 library instruction sessions. The number of library instruction attendees has increased more than 60%.</w:t>
      </w:r>
    </w:p>
    <w:p w:rsidR="00ED0797" w:rsidRPr="00E40C53" w:rsidRDefault="00ED0797" w:rsidP="00ED0797">
      <w:pPr>
        <w:pStyle w:val="Normal1"/>
        <w:numPr>
          <w:ilvl w:val="0"/>
          <w:numId w:val="5"/>
        </w:numPr>
        <w:ind w:left="720"/>
        <w:rPr>
          <w:rStyle w:val="normalchar"/>
          <w:rFonts w:ascii="Calibri" w:hAnsi="Calibri" w:cs="Calibri"/>
          <w:sz w:val="22"/>
          <w:szCs w:val="22"/>
        </w:rPr>
      </w:pPr>
      <w:r w:rsidRPr="00E40C53">
        <w:rPr>
          <w:rStyle w:val="normalchar"/>
          <w:rFonts w:ascii="Calibri" w:hAnsi="Calibri" w:cs="Calibri"/>
          <w:b/>
          <w:bCs/>
          <w:sz w:val="22"/>
          <w:szCs w:val="22"/>
        </w:rPr>
        <w:t xml:space="preserve">Research and Course Guides </w:t>
      </w:r>
      <w:r w:rsidRPr="00E40C53">
        <w:rPr>
          <w:rStyle w:val="normalchar"/>
          <w:rFonts w:ascii="Calibri" w:hAnsi="Calibri" w:cs="Calibri"/>
          <w:sz w:val="22"/>
          <w:szCs w:val="22"/>
        </w:rPr>
        <w:t xml:space="preserve">- The three full-time Research Services librarians continued development of online research subject and course guides, using the Web 2.0 </w:t>
      </w:r>
      <w:proofErr w:type="spellStart"/>
      <w:r w:rsidRPr="00E40C53">
        <w:rPr>
          <w:rStyle w:val="normalchar"/>
          <w:rFonts w:ascii="Calibri" w:hAnsi="Calibri" w:cs="Calibri"/>
          <w:sz w:val="22"/>
          <w:szCs w:val="22"/>
        </w:rPr>
        <w:t>LibGuides</w:t>
      </w:r>
      <w:proofErr w:type="spellEnd"/>
      <w:r w:rsidRPr="00E40C53">
        <w:rPr>
          <w:rStyle w:val="normalchar"/>
          <w:rFonts w:ascii="Calibri" w:hAnsi="Calibri" w:cs="Calibri"/>
          <w:sz w:val="22"/>
          <w:szCs w:val="22"/>
        </w:rPr>
        <w:t xml:space="preserve"> development environment.  The guides amassed over 103,000 hits for FY13.</w:t>
      </w:r>
    </w:p>
    <w:p w:rsidR="00ED0797" w:rsidRPr="00E40C53" w:rsidRDefault="00ED0797" w:rsidP="00ED0797">
      <w:pPr>
        <w:pStyle w:val="Normal1"/>
        <w:numPr>
          <w:ilvl w:val="0"/>
          <w:numId w:val="5"/>
        </w:numPr>
        <w:ind w:left="720"/>
        <w:rPr>
          <w:rStyle w:val="normalchar"/>
          <w:rFonts w:ascii="Calibri" w:hAnsi="Calibri" w:cs="Calibri"/>
          <w:sz w:val="22"/>
          <w:szCs w:val="22"/>
        </w:rPr>
      </w:pPr>
      <w:r w:rsidRPr="00E40C53">
        <w:rPr>
          <w:rStyle w:val="normalchar"/>
          <w:rFonts w:ascii="Calibri" w:hAnsi="Calibri" w:cs="Calibri"/>
          <w:b/>
          <w:bCs/>
          <w:sz w:val="22"/>
          <w:szCs w:val="22"/>
        </w:rPr>
        <w:t>Library Building</w:t>
      </w:r>
      <w:r w:rsidRPr="00E40C53">
        <w:rPr>
          <w:rStyle w:val="normalchar"/>
          <w:rFonts w:ascii="Calibri" w:hAnsi="Calibri" w:cs="Calibri"/>
          <w:sz w:val="22"/>
          <w:szCs w:val="22"/>
        </w:rPr>
        <w:t xml:space="preserve"> – The department participated in working out the policies for and the bugs in the new library building. Library Instruction Rooms have been made available for non-library GGC workshops.</w:t>
      </w:r>
    </w:p>
    <w:p w:rsidR="00ED0797" w:rsidRPr="00E40C53" w:rsidRDefault="00ED0797" w:rsidP="00ED0797">
      <w:pPr>
        <w:pStyle w:val="Normal1"/>
        <w:numPr>
          <w:ilvl w:val="0"/>
          <w:numId w:val="5"/>
        </w:numPr>
        <w:ind w:left="720"/>
        <w:rPr>
          <w:rStyle w:val="normalchar"/>
          <w:rFonts w:ascii="Calibri" w:hAnsi="Calibri" w:cs="Calibri"/>
          <w:sz w:val="22"/>
          <w:szCs w:val="22"/>
        </w:rPr>
      </w:pPr>
      <w:proofErr w:type="spellStart"/>
      <w:r w:rsidRPr="00E40C53">
        <w:rPr>
          <w:rStyle w:val="normalchar"/>
          <w:rFonts w:ascii="Calibri" w:hAnsi="Calibri" w:cs="Calibri"/>
          <w:b/>
          <w:bCs/>
          <w:sz w:val="22"/>
          <w:szCs w:val="22"/>
        </w:rPr>
        <w:t>LibAnswers</w:t>
      </w:r>
      <w:proofErr w:type="spellEnd"/>
      <w:r w:rsidRPr="00E40C53">
        <w:rPr>
          <w:rStyle w:val="normalchar"/>
          <w:rFonts w:ascii="Calibri" w:hAnsi="Calibri" w:cs="Calibri"/>
          <w:b/>
          <w:bCs/>
          <w:sz w:val="22"/>
          <w:szCs w:val="22"/>
        </w:rPr>
        <w:t xml:space="preserve"> – </w:t>
      </w:r>
      <w:r w:rsidRPr="00E40C53">
        <w:rPr>
          <w:rStyle w:val="normalchar"/>
          <w:rFonts w:ascii="Calibri" w:hAnsi="Calibri" w:cs="Calibri"/>
          <w:bCs/>
          <w:sz w:val="22"/>
          <w:szCs w:val="22"/>
        </w:rPr>
        <w:t xml:space="preserve">Began </w:t>
      </w:r>
      <w:r w:rsidRPr="00E40C53">
        <w:rPr>
          <w:rStyle w:val="normalchar"/>
          <w:rFonts w:ascii="Calibri" w:hAnsi="Calibri" w:cs="Calibri"/>
          <w:sz w:val="22"/>
          <w:szCs w:val="22"/>
        </w:rPr>
        <w:t xml:space="preserve">implementation and testing of  </w:t>
      </w:r>
      <w:proofErr w:type="spellStart"/>
      <w:r w:rsidRPr="00E40C53">
        <w:rPr>
          <w:rStyle w:val="normalchar"/>
          <w:rFonts w:ascii="Calibri" w:hAnsi="Calibri" w:cs="Calibri"/>
          <w:sz w:val="22"/>
          <w:szCs w:val="22"/>
        </w:rPr>
        <w:t>LibAnswers</w:t>
      </w:r>
      <w:proofErr w:type="spellEnd"/>
      <w:r w:rsidRPr="00E40C53">
        <w:rPr>
          <w:rStyle w:val="normalchar"/>
          <w:rFonts w:ascii="Calibri" w:hAnsi="Calibri" w:cs="Calibri"/>
          <w:sz w:val="22"/>
          <w:szCs w:val="22"/>
        </w:rPr>
        <w:t xml:space="preserve"> for Reference tracking, knowledge base, chat and text reference support</w:t>
      </w:r>
    </w:p>
    <w:p w:rsidR="00ED0797" w:rsidRPr="00E40C53" w:rsidRDefault="00ED0797" w:rsidP="00ED0797">
      <w:pPr>
        <w:pStyle w:val="Normal1"/>
        <w:outlineLvl w:val="0"/>
        <w:rPr>
          <w:rFonts w:ascii="Calibri" w:hAnsi="Calibri" w:cs="Calibri"/>
          <w:sz w:val="22"/>
          <w:szCs w:val="22"/>
        </w:rPr>
      </w:pPr>
    </w:p>
    <w:p w:rsidR="00ED0797" w:rsidRPr="00E40C53" w:rsidRDefault="009A68E5" w:rsidP="00ED0797">
      <w:pPr>
        <w:pStyle w:val="Normal1"/>
        <w:outlineLvl w:val="0"/>
        <w:rPr>
          <w:rFonts w:ascii="Calibri" w:hAnsi="Calibri" w:cs="Calibri"/>
        </w:rPr>
      </w:pPr>
      <w:r>
        <w:rPr>
          <w:rStyle w:val="normalchar"/>
          <w:rFonts w:ascii="Calibri" w:hAnsi="Calibri" w:cs="Calibri"/>
          <w:b/>
          <w:bCs/>
        </w:rPr>
        <w:lastRenderedPageBreak/>
        <w:t>Goals for FY</w:t>
      </w:r>
      <w:r w:rsidR="00ED0797" w:rsidRPr="00E40C53">
        <w:rPr>
          <w:rStyle w:val="normalchar"/>
          <w:rFonts w:ascii="Calibri" w:hAnsi="Calibri" w:cs="Calibri"/>
          <w:b/>
          <w:bCs/>
        </w:rPr>
        <w:t xml:space="preserve"> 2014: </w:t>
      </w:r>
    </w:p>
    <w:p w:rsidR="00ED0797" w:rsidRPr="00E40C53" w:rsidRDefault="00ED0797" w:rsidP="00ED0797">
      <w:pPr>
        <w:pStyle w:val="Normal1"/>
        <w:numPr>
          <w:ilvl w:val="0"/>
          <w:numId w:val="6"/>
        </w:numPr>
        <w:spacing w:before="0" w:beforeAutospacing="0" w:after="0" w:afterAutospacing="0"/>
        <w:rPr>
          <w:rStyle w:val="normalchar"/>
          <w:rFonts w:ascii="Calibri" w:hAnsi="Calibri" w:cs="Calibri"/>
          <w:sz w:val="22"/>
          <w:szCs w:val="22"/>
        </w:rPr>
      </w:pPr>
      <w:r w:rsidRPr="00E40C53">
        <w:rPr>
          <w:rStyle w:val="normalchar"/>
          <w:rFonts w:ascii="Calibri" w:hAnsi="Calibri" w:cs="Calibri"/>
          <w:b/>
          <w:bCs/>
          <w:sz w:val="22"/>
          <w:szCs w:val="22"/>
        </w:rPr>
        <w:t>Library Skills/Information Literacy Credit Class</w:t>
      </w:r>
      <w:r w:rsidRPr="00E40C53">
        <w:rPr>
          <w:rStyle w:val="normalchar"/>
          <w:rFonts w:ascii="Calibri" w:hAnsi="Calibri" w:cs="Calibri"/>
          <w:sz w:val="22"/>
          <w:szCs w:val="22"/>
        </w:rPr>
        <w:t xml:space="preserve"> – With the Instruction Coordinator position filled, Research Services will </w:t>
      </w:r>
    </w:p>
    <w:p w:rsidR="00ED0797" w:rsidRPr="00E40C53" w:rsidRDefault="00ED0797" w:rsidP="00ED0797">
      <w:pPr>
        <w:pStyle w:val="Normal1"/>
        <w:numPr>
          <w:ilvl w:val="1"/>
          <w:numId w:val="6"/>
        </w:numPr>
        <w:spacing w:before="0" w:beforeAutospacing="0" w:after="0" w:afterAutospacing="0"/>
        <w:rPr>
          <w:rStyle w:val="normalchar"/>
          <w:rFonts w:ascii="Calibri" w:hAnsi="Calibri" w:cs="Calibri"/>
          <w:sz w:val="22"/>
          <w:szCs w:val="22"/>
        </w:rPr>
      </w:pPr>
      <w:r w:rsidRPr="00E40C53">
        <w:rPr>
          <w:rStyle w:val="normalchar"/>
          <w:rFonts w:ascii="Calibri" w:hAnsi="Calibri" w:cs="Calibri"/>
          <w:sz w:val="22"/>
          <w:szCs w:val="22"/>
        </w:rPr>
        <w:t>Submit course proposal to the Curriculum Committee for a credit class.</w:t>
      </w:r>
    </w:p>
    <w:p w:rsidR="00ED0797" w:rsidRPr="00E40C53" w:rsidRDefault="00ED0797" w:rsidP="00ED0797">
      <w:pPr>
        <w:pStyle w:val="Normal1"/>
        <w:numPr>
          <w:ilvl w:val="1"/>
          <w:numId w:val="6"/>
        </w:numPr>
        <w:spacing w:before="0" w:beforeAutospacing="0" w:after="0" w:afterAutospacing="0"/>
        <w:rPr>
          <w:rStyle w:val="normalchar"/>
          <w:rFonts w:ascii="Calibri" w:hAnsi="Calibri" w:cs="Calibri"/>
          <w:sz w:val="22"/>
          <w:szCs w:val="22"/>
        </w:rPr>
      </w:pPr>
      <w:r w:rsidRPr="00E40C53">
        <w:rPr>
          <w:rStyle w:val="normalchar"/>
          <w:rFonts w:ascii="Calibri" w:hAnsi="Calibri" w:cs="Calibri"/>
          <w:sz w:val="22"/>
          <w:szCs w:val="22"/>
        </w:rPr>
        <w:t>Develop initial and advanced information literacy learning outcomes for students.</w:t>
      </w:r>
    </w:p>
    <w:p w:rsidR="00ED0797" w:rsidRPr="00E40C53" w:rsidRDefault="00ED0797" w:rsidP="00ED0797">
      <w:pPr>
        <w:pStyle w:val="Normal1"/>
        <w:numPr>
          <w:ilvl w:val="0"/>
          <w:numId w:val="6"/>
        </w:numPr>
        <w:spacing w:before="0" w:beforeAutospacing="0" w:after="0" w:afterAutospacing="0"/>
        <w:rPr>
          <w:rFonts w:ascii="Calibri" w:hAnsi="Calibri" w:cs="Calibri"/>
          <w:sz w:val="22"/>
          <w:szCs w:val="22"/>
        </w:rPr>
      </w:pPr>
      <w:r w:rsidRPr="00E40C53">
        <w:rPr>
          <w:rStyle w:val="normalchar"/>
          <w:rFonts w:ascii="Calibri" w:hAnsi="Calibri" w:cs="Calibri"/>
          <w:b/>
          <w:bCs/>
          <w:sz w:val="22"/>
          <w:szCs w:val="22"/>
        </w:rPr>
        <w:t>Staffing</w:t>
      </w:r>
      <w:r w:rsidRPr="00E40C53">
        <w:rPr>
          <w:rStyle w:val="normalchar"/>
          <w:rFonts w:ascii="Calibri" w:hAnsi="Calibri" w:cs="Calibri"/>
          <w:sz w:val="22"/>
          <w:szCs w:val="22"/>
        </w:rPr>
        <w:t xml:space="preserve"> – Work with Library Administration to increase departmental staffing to better meet the needs to the ever-growing college.</w:t>
      </w:r>
    </w:p>
    <w:p w:rsidR="00ED0797" w:rsidRPr="00E40C53" w:rsidRDefault="00ED0797" w:rsidP="00ED0797">
      <w:pPr>
        <w:pStyle w:val="Normal1"/>
        <w:numPr>
          <w:ilvl w:val="0"/>
          <w:numId w:val="6"/>
        </w:numPr>
        <w:spacing w:after="0" w:afterAutospacing="0"/>
        <w:rPr>
          <w:rStyle w:val="normalchar"/>
          <w:rFonts w:ascii="Calibri" w:hAnsi="Calibri" w:cs="Calibri"/>
          <w:sz w:val="22"/>
          <w:szCs w:val="22"/>
          <w:u w:val="single"/>
        </w:rPr>
      </w:pPr>
      <w:r w:rsidRPr="00E40C53">
        <w:rPr>
          <w:rStyle w:val="normalchar"/>
          <w:rFonts w:ascii="Calibri" w:hAnsi="Calibri" w:cs="Calibri"/>
          <w:b/>
          <w:bCs/>
          <w:sz w:val="22"/>
          <w:szCs w:val="22"/>
        </w:rPr>
        <w:t xml:space="preserve">Research and Course Guides </w:t>
      </w:r>
      <w:r w:rsidRPr="00E40C53">
        <w:rPr>
          <w:rStyle w:val="normalchar"/>
          <w:rFonts w:ascii="Calibri" w:hAnsi="Calibri" w:cs="Calibri"/>
          <w:sz w:val="22"/>
          <w:szCs w:val="22"/>
        </w:rPr>
        <w:t xml:space="preserve">– Continue development of Research and Course web pages in </w:t>
      </w:r>
      <w:proofErr w:type="spellStart"/>
      <w:r w:rsidRPr="00E40C53">
        <w:rPr>
          <w:rStyle w:val="normalchar"/>
          <w:rFonts w:ascii="Calibri" w:hAnsi="Calibri" w:cs="Calibri"/>
          <w:sz w:val="22"/>
          <w:szCs w:val="22"/>
        </w:rPr>
        <w:t>LibGuides</w:t>
      </w:r>
      <w:proofErr w:type="spellEnd"/>
      <w:r w:rsidRPr="00E40C53">
        <w:rPr>
          <w:rStyle w:val="normalchar"/>
          <w:rFonts w:ascii="Calibri" w:hAnsi="Calibri" w:cs="Calibri"/>
          <w:sz w:val="22"/>
          <w:szCs w:val="22"/>
        </w:rPr>
        <w:t>.</w:t>
      </w:r>
    </w:p>
    <w:p w:rsidR="00ED0797" w:rsidRPr="00E40C53" w:rsidRDefault="00ED0797" w:rsidP="00ED0797">
      <w:pPr>
        <w:pStyle w:val="Normal1"/>
        <w:numPr>
          <w:ilvl w:val="0"/>
          <w:numId w:val="6"/>
        </w:numPr>
        <w:spacing w:after="0" w:afterAutospacing="0" w:line="260" w:lineRule="atLeast"/>
        <w:rPr>
          <w:rStyle w:val="normalchar"/>
          <w:rFonts w:ascii="Calibri" w:hAnsi="Calibri" w:cs="Calibri"/>
          <w:sz w:val="22"/>
          <w:szCs w:val="22"/>
        </w:rPr>
      </w:pPr>
      <w:r w:rsidRPr="00E40C53">
        <w:rPr>
          <w:rStyle w:val="normalchar"/>
          <w:rFonts w:ascii="Calibri" w:hAnsi="Calibri" w:cs="Calibri"/>
          <w:b/>
          <w:bCs/>
          <w:sz w:val="22"/>
          <w:szCs w:val="22"/>
        </w:rPr>
        <w:t xml:space="preserve">Reference Service </w:t>
      </w:r>
      <w:r w:rsidRPr="00E40C53">
        <w:rPr>
          <w:rStyle w:val="normalchar"/>
          <w:rFonts w:ascii="Calibri" w:hAnsi="Calibri" w:cs="Calibri"/>
          <w:sz w:val="22"/>
          <w:szCs w:val="22"/>
        </w:rPr>
        <w:t xml:space="preserve">– Fully implement </w:t>
      </w:r>
      <w:proofErr w:type="spellStart"/>
      <w:r w:rsidRPr="00E40C53">
        <w:rPr>
          <w:rStyle w:val="normalchar"/>
          <w:rFonts w:ascii="Calibri" w:hAnsi="Calibri" w:cs="Calibri"/>
          <w:sz w:val="22"/>
          <w:szCs w:val="22"/>
        </w:rPr>
        <w:t>LibAnswers</w:t>
      </w:r>
      <w:proofErr w:type="spellEnd"/>
      <w:r w:rsidRPr="00E40C53">
        <w:rPr>
          <w:rStyle w:val="normalchar"/>
          <w:rFonts w:ascii="Calibri" w:hAnsi="Calibri" w:cs="Calibri"/>
          <w:sz w:val="22"/>
          <w:szCs w:val="22"/>
        </w:rPr>
        <w:t xml:space="preserve"> for Reference tracking, knowledge base, chat and text reference support.</w:t>
      </w:r>
    </w:p>
    <w:p w:rsidR="00ED0797" w:rsidRPr="00E40C53" w:rsidRDefault="00ED0797" w:rsidP="00ED0797">
      <w:pPr>
        <w:pStyle w:val="Normal1"/>
        <w:numPr>
          <w:ilvl w:val="0"/>
          <w:numId w:val="6"/>
        </w:numPr>
        <w:spacing w:after="200" w:afterAutospacing="0" w:line="260" w:lineRule="atLeast"/>
        <w:rPr>
          <w:rStyle w:val="normalchar"/>
          <w:rFonts w:ascii="Calibri" w:hAnsi="Calibri" w:cs="Calibri"/>
          <w:sz w:val="22"/>
          <w:szCs w:val="22"/>
        </w:rPr>
      </w:pPr>
      <w:r w:rsidRPr="00E40C53">
        <w:rPr>
          <w:rStyle w:val="normalchar"/>
          <w:rFonts w:ascii="Calibri" w:hAnsi="Calibri" w:cs="Calibri"/>
          <w:b/>
          <w:sz w:val="22"/>
          <w:szCs w:val="22"/>
        </w:rPr>
        <w:t>Library Instruction</w:t>
      </w:r>
      <w:r w:rsidRPr="00E40C53">
        <w:rPr>
          <w:rStyle w:val="normalchar"/>
          <w:rFonts w:ascii="Calibri" w:hAnsi="Calibri" w:cs="Calibri"/>
          <w:sz w:val="22"/>
          <w:szCs w:val="22"/>
        </w:rPr>
        <w:t xml:space="preserve"> – continue to explore technology options for the delivery of library instruction where feasible.</w:t>
      </w:r>
    </w:p>
    <w:p w:rsidR="00ED0797" w:rsidRPr="00E40C53" w:rsidRDefault="00ED0797">
      <w:pPr>
        <w:rPr>
          <w:rFonts w:asciiTheme="minorHAnsi" w:eastAsia="Times New Roman" w:hAnsiTheme="minorHAnsi"/>
        </w:rPr>
      </w:pPr>
      <w:r w:rsidRPr="00E40C53">
        <w:rPr>
          <w:rFonts w:asciiTheme="minorHAnsi" w:hAnsiTheme="minorHAnsi"/>
        </w:rPr>
        <w:br w:type="page"/>
      </w:r>
    </w:p>
    <w:p w:rsidR="00ED0797" w:rsidRPr="00E40C53" w:rsidRDefault="00ED0797" w:rsidP="00ED0797">
      <w:pPr>
        <w:rPr>
          <w:rFonts w:asciiTheme="minorHAnsi" w:hAnsiTheme="minorHAnsi"/>
          <w:b/>
          <w:sz w:val="28"/>
          <w:szCs w:val="28"/>
        </w:rPr>
      </w:pPr>
      <w:r w:rsidRPr="00E40C53">
        <w:rPr>
          <w:rFonts w:asciiTheme="minorHAnsi" w:hAnsiTheme="minorHAnsi"/>
          <w:b/>
          <w:sz w:val="28"/>
          <w:szCs w:val="28"/>
        </w:rPr>
        <w:lastRenderedPageBreak/>
        <w:t>Library Information Systems</w:t>
      </w:r>
    </w:p>
    <w:p w:rsidR="00ED0797" w:rsidRPr="00D36131" w:rsidRDefault="00ED0797" w:rsidP="00ED0797"/>
    <w:p w:rsidR="00ED0797" w:rsidRPr="004078CA" w:rsidRDefault="00ED0797" w:rsidP="00ED0797">
      <w:r>
        <w:t>FY2013</w:t>
      </w:r>
      <w:r w:rsidRPr="004078CA">
        <w:t xml:space="preserve"> was </w:t>
      </w:r>
      <w:r>
        <w:t>a</w:t>
      </w:r>
      <w:r w:rsidRPr="004078CA">
        <w:t xml:space="preserve"> year of </w:t>
      </w:r>
      <w:r>
        <w:t>stabilization</w:t>
      </w:r>
      <w:r w:rsidRPr="004078CA">
        <w:t xml:space="preserve"> for the Library Information Systems Department. The </w:t>
      </w:r>
      <w:r>
        <w:t xml:space="preserve">number of computers in the three Information Commons has not </w:t>
      </w:r>
      <w:r w:rsidR="00FF0526">
        <w:t>changed, due to the fact that every</w:t>
      </w:r>
      <w:r>
        <w:t xml:space="preserve"> data port that can reasonably be</w:t>
      </w:r>
      <w:r w:rsidR="003F7820">
        <w:t xml:space="preserve"> is being </w:t>
      </w:r>
      <w:r>
        <w:t>utilized. Usage of the Library Information Commons decreased slightly, while usage of the A and B Information Commons increased by 23.3%.</w:t>
      </w:r>
    </w:p>
    <w:p w:rsidR="00ED0797" w:rsidRPr="004078CA" w:rsidRDefault="00ED0797" w:rsidP="00ED0797"/>
    <w:p w:rsidR="00ED0797" w:rsidRPr="004078CA" w:rsidRDefault="009A68E5" w:rsidP="00ED0797">
      <w:pPr>
        <w:rPr>
          <w:b/>
        </w:rPr>
      </w:pPr>
      <w:r>
        <w:rPr>
          <w:b/>
        </w:rPr>
        <w:t xml:space="preserve">Activities for FY </w:t>
      </w:r>
      <w:r w:rsidR="00ED0797">
        <w:rPr>
          <w:b/>
        </w:rPr>
        <w:t>2013</w:t>
      </w:r>
      <w:r w:rsidR="00ED0797" w:rsidRPr="004078CA">
        <w:rPr>
          <w:b/>
        </w:rPr>
        <w:t>:</w:t>
      </w:r>
    </w:p>
    <w:p w:rsidR="00ED0797" w:rsidRPr="004078CA" w:rsidRDefault="00ED0797" w:rsidP="00ED0797"/>
    <w:p w:rsidR="00ED0797" w:rsidRDefault="00ED0797" w:rsidP="00ED0797">
      <w:pPr>
        <w:numPr>
          <w:ilvl w:val="0"/>
          <w:numId w:val="8"/>
        </w:numPr>
      </w:pPr>
      <w:r w:rsidRPr="00E40C53">
        <w:rPr>
          <w:b/>
        </w:rPr>
        <w:t>Information Commons</w:t>
      </w:r>
      <w:r w:rsidRPr="004078CA">
        <w:t xml:space="preserve"> </w:t>
      </w:r>
      <w:r w:rsidRPr="00335892">
        <w:t>–</w:t>
      </w:r>
      <w:r>
        <w:t xml:space="preserve">The Director of the Library, the Head of Library Information Systems, and the Vice President for Educational Technology met at the end of spring semester to discuss the staffing of the three Information Commons being shifted to the Office of Educational Technology. </w:t>
      </w:r>
      <w:r w:rsidR="00E40C53">
        <w:t xml:space="preserve">It is believed </w:t>
      </w:r>
      <w:r>
        <w:t xml:space="preserve">that computer problems could be addressed </w:t>
      </w:r>
      <w:r w:rsidR="00E40C53">
        <w:t xml:space="preserve">more quickly </w:t>
      </w:r>
      <w:r>
        <w:t>by OET student staff members who would be stationed in the Information Commons. Over time, the number of questions regarding how to use productivity software has declined, while questions and problems regarding the print management system (Pharos) and computers in general have increased. Since OET owns the computers and the print management system, it makes sense that they staff these service points.</w:t>
      </w:r>
      <w:r w:rsidR="00E40C53">
        <w:t xml:space="preserve"> I</w:t>
      </w:r>
      <w:r>
        <w:t xml:space="preserve">n the </w:t>
      </w:r>
      <w:r w:rsidR="00E40C53">
        <w:t xml:space="preserve">main </w:t>
      </w:r>
      <w:r>
        <w:t>Library, either a Library staff member or student assistant should co-staff that help desk with a member of the OET Support Services team.</w:t>
      </w:r>
    </w:p>
    <w:p w:rsidR="00ED0797" w:rsidRPr="004078CA" w:rsidRDefault="00ED0797" w:rsidP="00ED0797">
      <w:pPr>
        <w:numPr>
          <w:ilvl w:val="0"/>
          <w:numId w:val="8"/>
        </w:numPr>
      </w:pPr>
      <w:r w:rsidRPr="004078CA">
        <w:rPr>
          <w:b/>
        </w:rPr>
        <w:t xml:space="preserve">Staffing </w:t>
      </w:r>
      <w:r w:rsidRPr="004078CA">
        <w:t xml:space="preserve">– The department was </w:t>
      </w:r>
      <w:r>
        <w:t>able to add a part-time LA-1 to supervise the help desk Mon-Thu afternoons. The staffing model for the Library Information Commons Help Desk is gradually moving from being staffed by 2 student assistants to being staffed by one LA-1 and one student assistant during most hours the Library is open.</w:t>
      </w:r>
    </w:p>
    <w:p w:rsidR="00ED0797" w:rsidRDefault="00ED0797" w:rsidP="00ED0797">
      <w:pPr>
        <w:numPr>
          <w:ilvl w:val="0"/>
          <w:numId w:val="8"/>
        </w:numPr>
      </w:pPr>
      <w:r w:rsidRPr="00432A28">
        <w:rPr>
          <w:b/>
        </w:rPr>
        <w:t>Voyager</w:t>
      </w:r>
      <w:r w:rsidRPr="00432A28">
        <w:t xml:space="preserve"> – Members of the GIL consortium upgraded to version </w:t>
      </w:r>
      <w:r>
        <w:t>8</w:t>
      </w:r>
      <w:r w:rsidRPr="00432A28">
        <w:t>.</w:t>
      </w:r>
      <w:r>
        <w:t>2</w:t>
      </w:r>
      <w:r w:rsidRPr="00432A28">
        <w:t xml:space="preserve">. </w:t>
      </w:r>
      <w:r>
        <w:t>The Head of Library Information Systems continues to attempt to get a system for automating the process of adding GGC employees from ADP to Voyager, and to get the student patron update process automated</w:t>
      </w:r>
      <w:r w:rsidRPr="00432A28">
        <w:t>.</w:t>
      </w:r>
    </w:p>
    <w:p w:rsidR="00ED0797" w:rsidRDefault="00ED0797" w:rsidP="00ED0797">
      <w:pPr>
        <w:numPr>
          <w:ilvl w:val="0"/>
          <w:numId w:val="8"/>
        </w:numPr>
      </w:pPr>
      <w:r>
        <w:rPr>
          <w:b/>
        </w:rPr>
        <w:t xml:space="preserve">GIL </w:t>
      </w:r>
      <w:r>
        <w:t>– The GIL consortium continues to experiment with discovery layers and has begun planning forward to fin</w:t>
      </w:r>
      <w:r w:rsidR="003F7820">
        <w:t xml:space="preserve">d a replacement for Voyager </w:t>
      </w:r>
      <w:r>
        <w:t>in the future. Any replacement for Voyager is almost certain to include a discovery layer.</w:t>
      </w:r>
    </w:p>
    <w:p w:rsidR="00ED0797" w:rsidRPr="00432A28" w:rsidRDefault="00ED0797" w:rsidP="00ED0797">
      <w:pPr>
        <w:numPr>
          <w:ilvl w:val="0"/>
          <w:numId w:val="8"/>
        </w:numPr>
      </w:pPr>
      <w:r w:rsidRPr="00432A28">
        <w:rPr>
          <w:b/>
        </w:rPr>
        <w:t>GALILEO</w:t>
      </w:r>
      <w:r w:rsidRPr="00432A28">
        <w:t xml:space="preserve"> – </w:t>
      </w:r>
      <w:r>
        <w:t>There were no notable changes to GALILEO this Academic Year.</w:t>
      </w:r>
    </w:p>
    <w:p w:rsidR="00ED0797" w:rsidRPr="004078CA" w:rsidRDefault="00ED0797" w:rsidP="00ED0797">
      <w:pPr>
        <w:numPr>
          <w:ilvl w:val="0"/>
          <w:numId w:val="8"/>
        </w:numPr>
      </w:pPr>
      <w:proofErr w:type="spellStart"/>
      <w:r w:rsidRPr="004078CA">
        <w:rPr>
          <w:b/>
        </w:rPr>
        <w:t>EZProxy</w:t>
      </w:r>
      <w:proofErr w:type="spellEnd"/>
      <w:r w:rsidRPr="004078CA">
        <w:rPr>
          <w:b/>
        </w:rPr>
        <w:t xml:space="preserve"> </w:t>
      </w:r>
      <w:r w:rsidRPr="004078CA">
        <w:t xml:space="preserve">– </w:t>
      </w:r>
      <w:r>
        <w:t xml:space="preserve">There were no changes to our implementation of </w:t>
      </w:r>
      <w:proofErr w:type="spellStart"/>
      <w:r>
        <w:t>EZProxy</w:t>
      </w:r>
      <w:proofErr w:type="spellEnd"/>
      <w:r w:rsidRPr="004078CA">
        <w:t>.</w:t>
      </w:r>
    </w:p>
    <w:p w:rsidR="00ED0797" w:rsidRPr="004078CA" w:rsidRDefault="00ED0797" w:rsidP="00ED0797">
      <w:pPr>
        <w:numPr>
          <w:ilvl w:val="0"/>
          <w:numId w:val="10"/>
        </w:numPr>
      </w:pPr>
      <w:r w:rsidRPr="004078CA">
        <w:rPr>
          <w:b/>
        </w:rPr>
        <w:t>Initiatives</w:t>
      </w:r>
      <w:r w:rsidRPr="004078CA">
        <w:t xml:space="preserve"> – </w:t>
      </w:r>
      <w:r>
        <w:t>Head of Library Information Systems continued to serve on the GKR Steering Committee</w:t>
      </w:r>
      <w:r w:rsidRPr="004078CA">
        <w:t>.</w:t>
      </w:r>
      <w:r>
        <w:t xml:space="preserve"> GKR has contracted for the dBase instances to be hosted by </w:t>
      </w:r>
      <w:proofErr w:type="spellStart"/>
      <w:r>
        <w:t>BioMed</w:t>
      </w:r>
      <w:proofErr w:type="spellEnd"/>
      <w:r>
        <w:t xml:space="preserve"> Central until a more permanent solution can be implemented. During this Academic Year, as leadership of the Repository transitions from a pilot project based at Georgia Tech and funded by grant money to a permanent service run by GALILEO, the Steering Committee is gradually handing over governance to a Coordinating Committee that will be staffed by University System leaders.</w:t>
      </w:r>
    </w:p>
    <w:p w:rsidR="00ED0797" w:rsidRDefault="00ED0797" w:rsidP="00ED0797">
      <w:pPr>
        <w:ind w:left="360"/>
        <w:rPr>
          <w:b/>
        </w:rPr>
      </w:pPr>
    </w:p>
    <w:p w:rsidR="00ED0797" w:rsidRPr="004078CA" w:rsidRDefault="009A68E5" w:rsidP="00ED0797">
      <w:pPr>
        <w:ind w:left="360"/>
        <w:rPr>
          <w:b/>
        </w:rPr>
      </w:pPr>
      <w:r>
        <w:rPr>
          <w:b/>
        </w:rPr>
        <w:t xml:space="preserve">Goals for FY </w:t>
      </w:r>
      <w:r w:rsidR="00ED0797" w:rsidRPr="004078CA">
        <w:rPr>
          <w:b/>
        </w:rPr>
        <w:t>201</w:t>
      </w:r>
      <w:r w:rsidR="00ED0797">
        <w:rPr>
          <w:b/>
        </w:rPr>
        <w:t>4</w:t>
      </w:r>
      <w:r w:rsidR="00ED0797" w:rsidRPr="004078CA">
        <w:rPr>
          <w:b/>
        </w:rPr>
        <w:t>:</w:t>
      </w:r>
    </w:p>
    <w:p w:rsidR="00ED0797" w:rsidRPr="004078CA" w:rsidRDefault="00ED0797" w:rsidP="00ED0797">
      <w:pPr>
        <w:ind w:left="360"/>
      </w:pPr>
    </w:p>
    <w:p w:rsidR="00ED0797" w:rsidRPr="004078CA" w:rsidRDefault="00ED0797" w:rsidP="00ED0797">
      <w:pPr>
        <w:numPr>
          <w:ilvl w:val="0"/>
          <w:numId w:val="9"/>
        </w:numPr>
      </w:pPr>
      <w:r w:rsidRPr="004078CA">
        <w:rPr>
          <w:b/>
        </w:rPr>
        <w:t>Staffing and Services</w:t>
      </w:r>
      <w:r w:rsidRPr="004078CA">
        <w:t xml:space="preserve"> – Library Information Systems </w:t>
      </w:r>
      <w:r>
        <w:t xml:space="preserve">needs an additional professional technical position to help manage the Library’s systems, </w:t>
      </w:r>
      <w:r w:rsidR="00E40C53">
        <w:t>media, and data flow. Preferably</w:t>
      </w:r>
      <w:r>
        <w:t xml:space="preserve"> this person would have a master’s degree in Educational Technology, Information Technology, Information Science, or some equivalent qualifications. The Department has received funding to staff one more part-time LA-1. This position will supervise the Library Information Commons Help Desk Monday-Thursday mornings. This will provide continual staff supervision of that service point </w:t>
      </w:r>
      <w:r>
        <w:lastRenderedPageBreak/>
        <w:t>Monday-Thursday during all hours that the Library is open. We wish to fund one more LA-1 position to supervise that help desk Fridays-Sunday.</w:t>
      </w:r>
    </w:p>
    <w:p w:rsidR="00ED0797" w:rsidRDefault="00ED0797" w:rsidP="00ED0797">
      <w:pPr>
        <w:numPr>
          <w:ilvl w:val="0"/>
          <w:numId w:val="9"/>
        </w:numPr>
      </w:pPr>
      <w:r w:rsidRPr="004078CA">
        <w:rPr>
          <w:b/>
        </w:rPr>
        <w:t>Consortia</w:t>
      </w:r>
      <w:r w:rsidRPr="004078CA">
        <w:t xml:space="preserve"> – Continue to represent GGC Library within ongoing initiatives throughout the System, including GIL, GALILEO</w:t>
      </w:r>
      <w:r>
        <w:t>, and GKR</w:t>
      </w:r>
      <w:r w:rsidRPr="004078CA">
        <w:t>.</w:t>
      </w:r>
      <w:r>
        <w:t xml:space="preserve"> We expect to be involved with the Next Generation search </w:t>
      </w:r>
      <w:r w:rsidR="003F7820">
        <w:t xml:space="preserve">team that should start in </w:t>
      </w:r>
      <w:proofErr w:type="gramStart"/>
      <w:r w:rsidR="003F7820">
        <w:t>Fall</w:t>
      </w:r>
      <w:proofErr w:type="gramEnd"/>
      <w:r w:rsidR="003F7820">
        <w:t xml:space="preserve"> </w:t>
      </w:r>
      <w:r>
        <w:t>2013 and will begin the search for a new library management system to replace Voyager.</w:t>
      </w:r>
    </w:p>
    <w:p w:rsidR="00ED0797" w:rsidRPr="004078CA" w:rsidRDefault="00ED0797" w:rsidP="00ED0797">
      <w:pPr>
        <w:ind w:left="360"/>
      </w:pPr>
    </w:p>
    <w:p w:rsidR="00ED0797" w:rsidRDefault="00ED0797" w:rsidP="00ED0797">
      <w:pPr>
        <w:pStyle w:val="NormalWeb"/>
        <w:spacing w:before="0" w:beforeAutospacing="0" w:after="0" w:afterAutospacing="0"/>
        <w:rPr>
          <w:rFonts w:asciiTheme="minorHAnsi" w:hAnsiTheme="minorHAnsi"/>
        </w:rPr>
      </w:pPr>
    </w:p>
    <w:p w:rsidR="00ED0797" w:rsidRDefault="00ED0797" w:rsidP="00ED0797">
      <w:pPr>
        <w:pStyle w:val="NormalWeb"/>
        <w:spacing w:before="0" w:beforeAutospacing="0" w:after="0" w:afterAutospacing="0"/>
        <w:rPr>
          <w:rFonts w:asciiTheme="minorHAnsi" w:hAnsiTheme="minorHAnsi"/>
        </w:rPr>
      </w:pPr>
    </w:p>
    <w:p w:rsidR="00ED0797" w:rsidRDefault="00ED0797" w:rsidP="00ED0797">
      <w:pPr>
        <w:pStyle w:val="NormalWeb"/>
        <w:spacing w:before="0" w:beforeAutospacing="0" w:after="0" w:afterAutospacing="0"/>
        <w:rPr>
          <w:rFonts w:asciiTheme="minorHAnsi" w:hAnsiTheme="minorHAnsi"/>
        </w:rPr>
      </w:pPr>
    </w:p>
    <w:p w:rsidR="00ED0797" w:rsidRDefault="00ED0797" w:rsidP="00ED0797">
      <w:pPr>
        <w:pStyle w:val="NormalWeb"/>
        <w:spacing w:before="0" w:beforeAutospacing="0" w:after="0" w:afterAutospacing="0"/>
        <w:rPr>
          <w:rFonts w:asciiTheme="minorHAnsi" w:hAnsiTheme="minorHAnsi"/>
        </w:rPr>
      </w:pPr>
    </w:p>
    <w:p w:rsidR="00ED0797" w:rsidRDefault="00ED0797" w:rsidP="00ED0797">
      <w:pPr>
        <w:pStyle w:val="NormalWeb"/>
        <w:spacing w:before="0" w:beforeAutospacing="0" w:after="0" w:afterAutospacing="0"/>
        <w:rPr>
          <w:rFonts w:asciiTheme="minorHAnsi" w:hAnsiTheme="minorHAnsi"/>
        </w:rPr>
      </w:pPr>
    </w:p>
    <w:p w:rsidR="00ED0797" w:rsidRDefault="00ED0797" w:rsidP="00ED0797">
      <w:pPr>
        <w:pStyle w:val="NormalWeb"/>
        <w:spacing w:before="0" w:beforeAutospacing="0" w:after="0" w:afterAutospacing="0"/>
        <w:rPr>
          <w:rFonts w:asciiTheme="minorHAnsi" w:hAnsiTheme="minorHAnsi"/>
        </w:rPr>
      </w:pPr>
    </w:p>
    <w:p w:rsidR="00ED0797" w:rsidRDefault="00ED0797" w:rsidP="00ED0797">
      <w:pPr>
        <w:pStyle w:val="NormalWeb"/>
        <w:spacing w:before="0" w:beforeAutospacing="0" w:after="0" w:afterAutospacing="0"/>
        <w:rPr>
          <w:rFonts w:asciiTheme="minorHAnsi" w:hAnsiTheme="minorHAnsi"/>
        </w:rPr>
      </w:pPr>
    </w:p>
    <w:p w:rsidR="00ED0797" w:rsidRDefault="00ED0797" w:rsidP="00ED0797">
      <w:pPr>
        <w:pStyle w:val="NormalWeb"/>
        <w:spacing w:before="0" w:beforeAutospacing="0" w:after="0" w:afterAutospacing="0"/>
        <w:rPr>
          <w:rFonts w:asciiTheme="minorHAnsi" w:hAnsiTheme="minorHAnsi"/>
        </w:rPr>
      </w:pPr>
    </w:p>
    <w:p w:rsidR="00ED0797" w:rsidRDefault="00ED0797" w:rsidP="00ED0797">
      <w:pPr>
        <w:pStyle w:val="NormalWeb"/>
        <w:spacing w:before="0" w:beforeAutospacing="0" w:after="0" w:afterAutospacing="0"/>
        <w:rPr>
          <w:rFonts w:asciiTheme="minorHAnsi" w:hAnsiTheme="minorHAnsi"/>
        </w:rPr>
      </w:pPr>
    </w:p>
    <w:p w:rsidR="00E40C53" w:rsidRDefault="00E40C53">
      <w:r>
        <w:br w:type="page"/>
      </w:r>
    </w:p>
    <w:p w:rsidR="00E40C53" w:rsidRDefault="00E40C53" w:rsidP="00E40C53">
      <w:pPr>
        <w:jc w:val="center"/>
        <w:rPr>
          <w:sz w:val="72"/>
          <w:szCs w:val="72"/>
        </w:rPr>
      </w:pPr>
    </w:p>
    <w:p w:rsidR="00E40C53" w:rsidRDefault="00E40C53" w:rsidP="00E40C53">
      <w:pPr>
        <w:jc w:val="center"/>
        <w:rPr>
          <w:sz w:val="72"/>
          <w:szCs w:val="72"/>
        </w:rPr>
      </w:pPr>
    </w:p>
    <w:p w:rsidR="00E40C53" w:rsidRDefault="00E40C53" w:rsidP="00E40C53">
      <w:pPr>
        <w:jc w:val="center"/>
        <w:rPr>
          <w:sz w:val="72"/>
          <w:szCs w:val="72"/>
        </w:rPr>
      </w:pPr>
    </w:p>
    <w:p w:rsidR="00E40C53" w:rsidRDefault="00E40C53" w:rsidP="00E40C53">
      <w:pPr>
        <w:jc w:val="center"/>
        <w:rPr>
          <w:sz w:val="72"/>
          <w:szCs w:val="72"/>
        </w:rPr>
      </w:pPr>
    </w:p>
    <w:p w:rsidR="00E40C53" w:rsidRPr="009A68E5" w:rsidRDefault="00E40C53" w:rsidP="00E40C53">
      <w:pPr>
        <w:jc w:val="center"/>
        <w:rPr>
          <w:rFonts w:asciiTheme="majorHAnsi" w:hAnsiTheme="majorHAnsi"/>
          <w:sz w:val="72"/>
          <w:szCs w:val="72"/>
        </w:rPr>
      </w:pPr>
      <w:r w:rsidRPr="009A68E5">
        <w:rPr>
          <w:rFonts w:asciiTheme="majorHAnsi" w:hAnsiTheme="majorHAnsi"/>
          <w:sz w:val="72"/>
          <w:szCs w:val="72"/>
        </w:rPr>
        <w:t>Statistics</w:t>
      </w:r>
    </w:p>
    <w:p w:rsidR="00E40C53" w:rsidRDefault="00E40C53">
      <w:pPr>
        <w:rPr>
          <w:sz w:val="72"/>
          <w:szCs w:val="72"/>
        </w:rPr>
      </w:pPr>
      <w:r>
        <w:rPr>
          <w:sz w:val="72"/>
          <w:szCs w:val="72"/>
        </w:rPr>
        <w:br w:type="page"/>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416"/>
        <w:gridCol w:w="1530"/>
        <w:gridCol w:w="1620"/>
        <w:gridCol w:w="1620"/>
      </w:tblGrid>
      <w:tr w:rsidR="005A633D" w:rsidRPr="00442250" w:rsidTr="009A68E5">
        <w:trPr>
          <w:trHeight w:val="440"/>
        </w:trPr>
        <w:tc>
          <w:tcPr>
            <w:tcW w:w="3192" w:type="dxa"/>
          </w:tcPr>
          <w:p w:rsidR="005A633D" w:rsidRPr="005933EF" w:rsidRDefault="005A633D" w:rsidP="009A68E5">
            <w:pPr>
              <w:rPr>
                <w:b/>
                <w:sz w:val="28"/>
                <w:szCs w:val="28"/>
              </w:rPr>
            </w:pPr>
            <w:r w:rsidRPr="005933EF">
              <w:rPr>
                <w:b/>
                <w:sz w:val="28"/>
                <w:szCs w:val="28"/>
              </w:rPr>
              <w:lastRenderedPageBreak/>
              <w:t xml:space="preserve">Library </w:t>
            </w:r>
            <w:r>
              <w:rPr>
                <w:b/>
                <w:sz w:val="28"/>
                <w:szCs w:val="28"/>
              </w:rPr>
              <w:t>Attendance</w:t>
            </w:r>
          </w:p>
        </w:tc>
        <w:tc>
          <w:tcPr>
            <w:tcW w:w="1416" w:type="dxa"/>
            <w:vAlign w:val="bottom"/>
          </w:tcPr>
          <w:p w:rsidR="005A633D" w:rsidRPr="00442250" w:rsidRDefault="005A633D" w:rsidP="009A68E5">
            <w:pPr>
              <w:jc w:val="center"/>
              <w:rPr>
                <w:b/>
              </w:rPr>
            </w:pPr>
            <w:r w:rsidRPr="00442250">
              <w:rPr>
                <w:b/>
              </w:rPr>
              <w:t>FY10</w:t>
            </w:r>
          </w:p>
        </w:tc>
        <w:tc>
          <w:tcPr>
            <w:tcW w:w="1530" w:type="dxa"/>
            <w:vAlign w:val="bottom"/>
          </w:tcPr>
          <w:p w:rsidR="005A633D" w:rsidRPr="00442250" w:rsidRDefault="005A633D" w:rsidP="009A68E5">
            <w:pPr>
              <w:jc w:val="center"/>
              <w:rPr>
                <w:b/>
              </w:rPr>
            </w:pPr>
            <w:r w:rsidRPr="00442250">
              <w:rPr>
                <w:b/>
              </w:rPr>
              <w:t>FY11</w:t>
            </w:r>
          </w:p>
        </w:tc>
        <w:tc>
          <w:tcPr>
            <w:tcW w:w="1620" w:type="dxa"/>
            <w:vAlign w:val="bottom"/>
          </w:tcPr>
          <w:p w:rsidR="005A633D" w:rsidRPr="00442250" w:rsidRDefault="005A633D" w:rsidP="009A68E5">
            <w:pPr>
              <w:jc w:val="center"/>
              <w:rPr>
                <w:b/>
              </w:rPr>
            </w:pPr>
            <w:r>
              <w:rPr>
                <w:b/>
              </w:rPr>
              <w:t>FY12</w:t>
            </w:r>
          </w:p>
        </w:tc>
        <w:tc>
          <w:tcPr>
            <w:tcW w:w="1620" w:type="dxa"/>
            <w:vAlign w:val="bottom"/>
          </w:tcPr>
          <w:p w:rsidR="005A633D" w:rsidRDefault="005A633D" w:rsidP="009A68E5">
            <w:pPr>
              <w:jc w:val="center"/>
              <w:rPr>
                <w:b/>
              </w:rPr>
            </w:pPr>
            <w:r>
              <w:rPr>
                <w:b/>
              </w:rPr>
              <w:t>FY13</w:t>
            </w:r>
          </w:p>
        </w:tc>
      </w:tr>
      <w:tr w:rsidR="005A633D" w:rsidRPr="00442250" w:rsidTr="009A68E5">
        <w:tc>
          <w:tcPr>
            <w:tcW w:w="3192" w:type="dxa"/>
          </w:tcPr>
          <w:p w:rsidR="005A633D" w:rsidRPr="00442250" w:rsidRDefault="005A633D" w:rsidP="009A68E5">
            <w:r>
              <w:rPr>
                <w:b/>
              </w:rPr>
              <w:t xml:space="preserve">Main Library </w:t>
            </w:r>
            <w:r w:rsidRPr="00442250">
              <w:rPr>
                <w:b/>
              </w:rPr>
              <w:t>Gate Count</w:t>
            </w:r>
          </w:p>
        </w:tc>
        <w:tc>
          <w:tcPr>
            <w:tcW w:w="1416" w:type="dxa"/>
            <w:vAlign w:val="bottom"/>
          </w:tcPr>
          <w:p w:rsidR="005A633D" w:rsidRPr="00442250" w:rsidRDefault="005A633D" w:rsidP="009A68E5">
            <w:pPr>
              <w:jc w:val="right"/>
            </w:pPr>
            <w:r>
              <w:t>103,184</w:t>
            </w:r>
          </w:p>
        </w:tc>
        <w:tc>
          <w:tcPr>
            <w:tcW w:w="1530" w:type="dxa"/>
            <w:vAlign w:val="bottom"/>
          </w:tcPr>
          <w:p w:rsidR="005A633D" w:rsidRPr="00442250" w:rsidRDefault="005A633D" w:rsidP="009A68E5">
            <w:pPr>
              <w:jc w:val="right"/>
            </w:pPr>
            <w:r>
              <w:t>299,390</w:t>
            </w:r>
          </w:p>
        </w:tc>
        <w:tc>
          <w:tcPr>
            <w:tcW w:w="1620" w:type="dxa"/>
            <w:vAlign w:val="bottom"/>
          </w:tcPr>
          <w:p w:rsidR="005A633D" w:rsidRDefault="005A633D" w:rsidP="009A68E5">
            <w:pPr>
              <w:jc w:val="right"/>
            </w:pPr>
            <w:r>
              <w:t>433,028</w:t>
            </w:r>
          </w:p>
        </w:tc>
        <w:tc>
          <w:tcPr>
            <w:tcW w:w="1620" w:type="dxa"/>
          </w:tcPr>
          <w:p w:rsidR="005A633D" w:rsidRDefault="005A633D" w:rsidP="009A68E5">
            <w:pPr>
              <w:jc w:val="right"/>
            </w:pPr>
            <w:r>
              <w:t>443,360</w:t>
            </w:r>
          </w:p>
        </w:tc>
      </w:tr>
    </w:tbl>
    <w:p w:rsidR="00556AD0" w:rsidRPr="002122C5" w:rsidRDefault="00556AD0" w:rsidP="00556AD0">
      <w:pPr>
        <w:ind w:left="720"/>
        <w:jc w:val="center"/>
        <w:rPr>
          <w:rFonts w:ascii="Cambria" w:hAnsi="Cambria"/>
          <w:b/>
          <w:sz w:val="24"/>
          <w:szCs w:val="24"/>
        </w:rPr>
      </w:pPr>
    </w:p>
    <w:p w:rsidR="00556AD0" w:rsidRDefault="00556AD0" w:rsidP="00556AD0">
      <w:pPr>
        <w:ind w:left="720"/>
        <w:rPr>
          <w:noProof/>
        </w:rPr>
      </w:pPr>
    </w:p>
    <w:p w:rsidR="00556AD0" w:rsidRDefault="00556AD0" w:rsidP="00556AD0">
      <w:pPr>
        <w:ind w:left="720"/>
        <w:rPr>
          <w:noProof/>
        </w:rPr>
      </w:pPr>
    </w:p>
    <w:tbl>
      <w:tblPr>
        <w:tblpPr w:leftFromText="180" w:rightFromText="180" w:vertAnchor="text" w:horzAnchor="margin" w:tblpXSpec="center" w:tblpY="165"/>
        <w:tblW w:w="6327" w:type="dxa"/>
        <w:tblLook w:val="04A0" w:firstRow="1" w:lastRow="0" w:firstColumn="1" w:lastColumn="0" w:noHBand="0" w:noVBand="1"/>
      </w:tblPr>
      <w:tblGrid>
        <w:gridCol w:w="2684"/>
        <w:gridCol w:w="763"/>
        <w:gridCol w:w="960"/>
        <w:gridCol w:w="960"/>
        <w:gridCol w:w="960"/>
      </w:tblGrid>
      <w:tr w:rsidR="009A68E5" w:rsidRPr="00EA3426" w:rsidTr="009A68E5">
        <w:trPr>
          <w:trHeight w:val="300"/>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8E5" w:rsidRPr="0098093F" w:rsidRDefault="009A68E5" w:rsidP="009A68E5">
            <w:pPr>
              <w:rPr>
                <w:rFonts w:cs="Calibri"/>
                <w:b/>
                <w:color w:val="000000"/>
              </w:rPr>
            </w:pPr>
            <w:r>
              <w:rPr>
                <w:rFonts w:cs="Calibri"/>
                <w:b/>
                <w:color w:val="000000"/>
              </w:rPr>
              <w:t>Materials Circulation</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9A68E5" w:rsidRPr="00EA3426" w:rsidRDefault="009A68E5" w:rsidP="009A68E5">
            <w:pPr>
              <w:jc w:val="center"/>
              <w:rPr>
                <w:b/>
                <w:bCs/>
                <w:color w:val="000000"/>
              </w:rPr>
            </w:pPr>
            <w:r>
              <w:rPr>
                <w:b/>
                <w:bCs/>
                <w:color w:val="000000"/>
              </w:rPr>
              <w:t>FY10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8E5" w:rsidRPr="00EA3426" w:rsidRDefault="009A68E5" w:rsidP="009A68E5">
            <w:pPr>
              <w:jc w:val="center"/>
              <w:rPr>
                <w:b/>
                <w:bCs/>
                <w:color w:val="000000"/>
              </w:rPr>
            </w:pPr>
            <w:r>
              <w:rPr>
                <w:b/>
                <w:bCs/>
                <w:color w:val="000000"/>
              </w:rPr>
              <w:t>FY11</w:t>
            </w:r>
          </w:p>
        </w:tc>
        <w:tc>
          <w:tcPr>
            <w:tcW w:w="960" w:type="dxa"/>
            <w:tcBorders>
              <w:top w:val="single" w:sz="4" w:space="0" w:color="auto"/>
              <w:left w:val="nil"/>
              <w:bottom w:val="single" w:sz="4" w:space="0" w:color="auto"/>
              <w:right w:val="single" w:sz="4" w:space="0" w:color="auto"/>
            </w:tcBorders>
            <w:vAlign w:val="bottom"/>
          </w:tcPr>
          <w:p w:rsidR="009A68E5" w:rsidRPr="00EA3426" w:rsidRDefault="009A68E5" w:rsidP="009A68E5">
            <w:pPr>
              <w:jc w:val="center"/>
              <w:rPr>
                <w:b/>
                <w:bCs/>
                <w:color w:val="000000"/>
              </w:rPr>
            </w:pPr>
            <w:r>
              <w:rPr>
                <w:b/>
                <w:bCs/>
                <w:color w:val="000000"/>
              </w:rPr>
              <w:t>FY12</w:t>
            </w:r>
          </w:p>
        </w:tc>
        <w:tc>
          <w:tcPr>
            <w:tcW w:w="960" w:type="dxa"/>
            <w:tcBorders>
              <w:top w:val="single" w:sz="4" w:space="0" w:color="auto"/>
              <w:left w:val="nil"/>
              <w:bottom w:val="single" w:sz="4" w:space="0" w:color="auto"/>
              <w:right w:val="single" w:sz="4" w:space="0" w:color="auto"/>
            </w:tcBorders>
          </w:tcPr>
          <w:p w:rsidR="009A68E5" w:rsidRDefault="009A68E5" w:rsidP="009A68E5">
            <w:pPr>
              <w:jc w:val="center"/>
              <w:rPr>
                <w:b/>
                <w:bCs/>
                <w:color w:val="000000"/>
              </w:rPr>
            </w:pPr>
            <w:r>
              <w:rPr>
                <w:b/>
                <w:bCs/>
                <w:color w:val="000000"/>
              </w:rPr>
              <w:t>FY13</w:t>
            </w:r>
          </w:p>
        </w:tc>
      </w:tr>
      <w:tr w:rsidR="009A68E5" w:rsidRPr="00EA3426" w:rsidTr="009A68E5">
        <w:trPr>
          <w:trHeight w:val="300"/>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9A68E5" w:rsidRPr="00EA3426" w:rsidRDefault="009A68E5" w:rsidP="009A68E5">
            <w:pPr>
              <w:rPr>
                <w:b/>
                <w:bCs/>
                <w:color w:val="000000"/>
              </w:rPr>
            </w:pPr>
            <w:r w:rsidRPr="00EA3426">
              <w:rPr>
                <w:b/>
                <w:bCs/>
                <w:color w:val="000000"/>
              </w:rPr>
              <w:t>Reserve Items</w:t>
            </w:r>
          </w:p>
        </w:tc>
        <w:tc>
          <w:tcPr>
            <w:tcW w:w="763" w:type="dxa"/>
            <w:tcBorders>
              <w:top w:val="nil"/>
              <w:left w:val="nil"/>
              <w:bottom w:val="single" w:sz="4" w:space="0" w:color="auto"/>
              <w:right w:val="single" w:sz="4" w:space="0" w:color="auto"/>
            </w:tcBorders>
            <w:shd w:val="clear" w:color="auto" w:fill="auto"/>
            <w:noWrap/>
            <w:vAlign w:val="bottom"/>
            <w:hideMark/>
          </w:tcPr>
          <w:p w:rsidR="009A68E5" w:rsidRPr="00EA3426" w:rsidRDefault="009A68E5" w:rsidP="009A68E5">
            <w:pPr>
              <w:jc w:val="right"/>
              <w:rPr>
                <w:color w:val="000000"/>
              </w:rPr>
            </w:pPr>
            <w:r>
              <w:rPr>
                <w:color w:val="000000"/>
              </w:rPr>
              <w:t>2,522</w:t>
            </w:r>
          </w:p>
        </w:tc>
        <w:tc>
          <w:tcPr>
            <w:tcW w:w="960" w:type="dxa"/>
            <w:tcBorders>
              <w:top w:val="nil"/>
              <w:left w:val="nil"/>
              <w:bottom w:val="single" w:sz="4" w:space="0" w:color="auto"/>
              <w:right w:val="single" w:sz="4" w:space="0" w:color="auto"/>
            </w:tcBorders>
            <w:shd w:val="clear" w:color="auto" w:fill="auto"/>
            <w:noWrap/>
            <w:vAlign w:val="bottom"/>
            <w:hideMark/>
          </w:tcPr>
          <w:p w:rsidR="009A68E5" w:rsidRPr="00EA3426" w:rsidRDefault="009A68E5" w:rsidP="009A68E5">
            <w:pPr>
              <w:jc w:val="right"/>
              <w:rPr>
                <w:color w:val="000000"/>
              </w:rPr>
            </w:pPr>
            <w:r>
              <w:rPr>
                <w:color w:val="000000"/>
              </w:rPr>
              <w:t>4,710</w:t>
            </w:r>
          </w:p>
        </w:tc>
        <w:tc>
          <w:tcPr>
            <w:tcW w:w="960" w:type="dxa"/>
            <w:tcBorders>
              <w:top w:val="nil"/>
              <w:left w:val="nil"/>
              <w:bottom w:val="single" w:sz="4" w:space="0" w:color="auto"/>
              <w:right w:val="single" w:sz="4" w:space="0" w:color="auto"/>
            </w:tcBorders>
            <w:vAlign w:val="bottom"/>
          </w:tcPr>
          <w:p w:rsidR="009A68E5" w:rsidRDefault="009A68E5" w:rsidP="009A68E5">
            <w:pPr>
              <w:jc w:val="right"/>
              <w:rPr>
                <w:color w:val="000000"/>
              </w:rPr>
            </w:pPr>
            <w:r>
              <w:rPr>
                <w:color w:val="000000"/>
              </w:rPr>
              <w:t>7090</w:t>
            </w:r>
          </w:p>
        </w:tc>
        <w:tc>
          <w:tcPr>
            <w:tcW w:w="960" w:type="dxa"/>
            <w:tcBorders>
              <w:top w:val="nil"/>
              <w:left w:val="nil"/>
              <w:bottom w:val="single" w:sz="4" w:space="0" w:color="auto"/>
              <w:right w:val="single" w:sz="4" w:space="0" w:color="auto"/>
            </w:tcBorders>
          </w:tcPr>
          <w:p w:rsidR="009A68E5" w:rsidRDefault="009A68E5" w:rsidP="009A68E5">
            <w:pPr>
              <w:jc w:val="right"/>
              <w:rPr>
                <w:color w:val="000000"/>
              </w:rPr>
            </w:pPr>
            <w:r>
              <w:rPr>
                <w:color w:val="000000"/>
              </w:rPr>
              <w:t>5,315</w:t>
            </w:r>
          </w:p>
        </w:tc>
      </w:tr>
      <w:tr w:rsidR="009A68E5" w:rsidRPr="00EA3426" w:rsidTr="009A68E5">
        <w:trPr>
          <w:trHeight w:val="300"/>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9A68E5" w:rsidRPr="00EA3426" w:rsidRDefault="009A68E5" w:rsidP="009A68E5">
            <w:pPr>
              <w:rPr>
                <w:b/>
                <w:bCs/>
                <w:color w:val="000000"/>
              </w:rPr>
            </w:pPr>
            <w:r w:rsidRPr="00EA3426">
              <w:rPr>
                <w:b/>
                <w:bCs/>
                <w:color w:val="000000"/>
              </w:rPr>
              <w:t>Circulating Items</w:t>
            </w:r>
          </w:p>
        </w:tc>
        <w:tc>
          <w:tcPr>
            <w:tcW w:w="763" w:type="dxa"/>
            <w:tcBorders>
              <w:top w:val="nil"/>
              <w:left w:val="nil"/>
              <w:bottom w:val="single" w:sz="4" w:space="0" w:color="auto"/>
              <w:right w:val="single" w:sz="4" w:space="0" w:color="auto"/>
            </w:tcBorders>
            <w:shd w:val="clear" w:color="auto" w:fill="auto"/>
            <w:noWrap/>
            <w:vAlign w:val="bottom"/>
            <w:hideMark/>
          </w:tcPr>
          <w:p w:rsidR="009A68E5" w:rsidRPr="00EA3426" w:rsidRDefault="009A68E5" w:rsidP="009A68E5">
            <w:pPr>
              <w:jc w:val="right"/>
              <w:rPr>
                <w:color w:val="000000"/>
              </w:rPr>
            </w:pPr>
            <w:r>
              <w:rPr>
                <w:color w:val="000000"/>
              </w:rPr>
              <w:t>5,905</w:t>
            </w:r>
          </w:p>
        </w:tc>
        <w:tc>
          <w:tcPr>
            <w:tcW w:w="960" w:type="dxa"/>
            <w:tcBorders>
              <w:top w:val="nil"/>
              <w:left w:val="nil"/>
              <w:bottom w:val="single" w:sz="4" w:space="0" w:color="auto"/>
              <w:right w:val="single" w:sz="4" w:space="0" w:color="auto"/>
            </w:tcBorders>
            <w:shd w:val="clear" w:color="auto" w:fill="auto"/>
            <w:noWrap/>
            <w:vAlign w:val="bottom"/>
            <w:hideMark/>
          </w:tcPr>
          <w:p w:rsidR="009A68E5" w:rsidRPr="00EA3426" w:rsidRDefault="009A68E5" w:rsidP="009A68E5">
            <w:pPr>
              <w:jc w:val="right"/>
              <w:rPr>
                <w:color w:val="000000"/>
              </w:rPr>
            </w:pPr>
            <w:r>
              <w:rPr>
                <w:color w:val="000000"/>
              </w:rPr>
              <w:t>15,373</w:t>
            </w:r>
          </w:p>
        </w:tc>
        <w:tc>
          <w:tcPr>
            <w:tcW w:w="960" w:type="dxa"/>
            <w:tcBorders>
              <w:top w:val="nil"/>
              <w:left w:val="nil"/>
              <w:bottom w:val="single" w:sz="4" w:space="0" w:color="auto"/>
              <w:right w:val="single" w:sz="4" w:space="0" w:color="auto"/>
            </w:tcBorders>
            <w:vAlign w:val="bottom"/>
          </w:tcPr>
          <w:p w:rsidR="009A68E5" w:rsidRDefault="009A68E5" w:rsidP="009A68E5">
            <w:pPr>
              <w:jc w:val="right"/>
              <w:rPr>
                <w:color w:val="000000"/>
              </w:rPr>
            </w:pPr>
            <w:r>
              <w:rPr>
                <w:color w:val="000000"/>
              </w:rPr>
              <w:t>17,932</w:t>
            </w:r>
          </w:p>
        </w:tc>
        <w:tc>
          <w:tcPr>
            <w:tcW w:w="960" w:type="dxa"/>
            <w:tcBorders>
              <w:top w:val="nil"/>
              <w:left w:val="nil"/>
              <w:bottom w:val="single" w:sz="4" w:space="0" w:color="auto"/>
              <w:right w:val="single" w:sz="4" w:space="0" w:color="auto"/>
            </w:tcBorders>
          </w:tcPr>
          <w:p w:rsidR="009A68E5" w:rsidRDefault="009A68E5" w:rsidP="009A68E5">
            <w:pPr>
              <w:jc w:val="right"/>
              <w:rPr>
                <w:color w:val="000000"/>
              </w:rPr>
            </w:pPr>
            <w:r>
              <w:rPr>
                <w:color w:val="000000"/>
              </w:rPr>
              <w:t>16,297</w:t>
            </w:r>
          </w:p>
        </w:tc>
      </w:tr>
      <w:tr w:rsidR="009A68E5" w:rsidRPr="00EA3426" w:rsidTr="009A68E5">
        <w:trPr>
          <w:trHeight w:val="300"/>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9A68E5" w:rsidRPr="00EA3426" w:rsidRDefault="009A68E5" w:rsidP="009A68E5">
            <w:pPr>
              <w:rPr>
                <w:b/>
                <w:bCs/>
                <w:color w:val="000000"/>
              </w:rPr>
            </w:pPr>
            <w:r w:rsidRPr="00EA3426">
              <w:rPr>
                <w:b/>
                <w:bCs/>
                <w:color w:val="000000"/>
              </w:rPr>
              <w:t xml:space="preserve">Total </w:t>
            </w:r>
          </w:p>
        </w:tc>
        <w:tc>
          <w:tcPr>
            <w:tcW w:w="763" w:type="dxa"/>
            <w:tcBorders>
              <w:top w:val="nil"/>
              <w:left w:val="nil"/>
              <w:bottom w:val="single" w:sz="4" w:space="0" w:color="auto"/>
              <w:right w:val="single" w:sz="4" w:space="0" w:color="auto"/>
            </w:tcBorders>
            <w:shd w:val="clear" w:color="auto" w:fill="auto"/>
            <w:noWrap/>
            <w:vAlign w:val="bottom"/>
            <w:hideMark/>
          </w:tcPr>
          <w:p w:rsidR="009A68E5" w:rsidRPr="00EA3426" w:rsidRDefault="009A68E5" w:rsidP="009A68E5">
            <w:pPr>
              <w:jc w:val="right"/>
              <w:rPr>
                <w:color w:val="000000"/>
              </w:rPr>
            </w:pPr>
            <w:r>
              <w:rPr>
                <w:color w:val="000000"/>
              </w:rPr>
              <w:t>8,427</w:t>
            </w:r>
          </w:p>
        </w:tc>
        <w:tc>
          <w:tcPr>
            <w:tcW w:w="960" w:type="dxa"/>
            <w:tcBorders>
              <w:top w:val="nil"/>
              <w:left w:val="nil"/>
              <w:bottom w:val="single" w:sz="4" w:space="0" w:color="auto"/>
              <w:right w:val="single" w:sz="4" w:space="0" w:color="auto"/>
            </w:tcBorders>
            <w:shd w:val="clear" w:color="auto" w:fill="auto"/>
            <w:noWrap/>
            <w:vAlign w:val="bottom"/>
            <w:hideMark/>
          </w:tcPr>
          <w:p w:rsidR="009A68E5" w:rsidRPr="00EA3426" w:rsidRDefault="009A68E5" w:rsidP="009A68E5">
            <w:pPr>
              <w:jc w:val="right"/>
              <w:rPr>
                <w:color w:val="000000"/>
              </w:rPr>
            </w:pPr>
            <w:r>
              <w:rPr>
                <w:color w:val="000000"/>
              </w:rPr>
              <w:t>20,083</w:t>
            </w:r>
          </w:p>
        </w:tc>
        <w:tc>
          <w:tcPr>
            <w:tcW w:w="960" w:type="dxa"/>
            <w:tcBorders>
              <w:top w:val="nil"/>
              <w:left w:val="nil"/>
              <w:bottom w:val="single" w:sz="4" w:space="0" w:color="auto"/>
              <w:right w:val="single" w:sz="4" w:space="0" w:color="auto"/>
            </w:tcBorders>
            <w:vAlign w:val="bottom"/>
          </w:tcPr>
          <w:p w:rsidR="009A68E5" w:rsidRDefault="009A68E5" w:rsidP="009A68E5">
            <w:pPr>
              <w:jc w:val="right"/>
              <w:rPr>
                <w:color w:val="000000"/>
              </w:rPr>
            </w:pPr>
            <w:r>
              <w:rPr>
                <w:color w:val="000000"/>
              </w:rPr>
              <w:t>25,022</w:t>
            </w:r>
          </w:p>
        </w:tc>
        <w:tc>
          <w:tcPr>
            <w:tcW w:w="960" w:type="dxa"/>
            <w:tcBorders>
              <w:top w:val="nil"/>
              <w:left w:val="nil"/>
              <w:bottom w:val="single" w:sz="4" w:space="0" w:color="auto"/>
              <w:right w:val="single" w:sz="4" w:space="0" w:color="auto"/>
            </w:tcBorders>
          </w:tcPr>
          <w:p w:rsidR="009A68E5" w:rsidRDefault="009A68E5" w:rsidP="009A68E5">
            <w:pPr>
              <w:jc w:val="right"/>
              <w:rPr>
                <w:color w:val="000000"/>
              </w:rPr>
            </w:pPr>
            <w:r>
              <w:rPr>
                <w:color w:val="000000"/>
              </w:rPr>
              <w:t>21,612</w:t>
            </w:r>
          </w:p>
        </w:tc>
      </w:tr>
    </w:tbl>
    <w:p w:rsidR="00556AD0" w:rsidRDefault="00556AD0" w:rsidP="00556AD0">
      <w:pPr>
        <w:ind w:left="720"/>
        <w:rPr>
          <w:noProof/>
        </w:rPr>
      </w:pPr>
    </w:p>
    <w:p w:rsidR="00556AD0" w:rsidRDefault="00556AD0" w:rsidP="00556AD0">
      <w:pPr>
        <w:ind w:left="720"/>
        <w:rPr>
          <w:noProof/>
        </w:rPr>
      </w:pPr>
    </w:p>
    <w:tbl>
      <w:tblPr>
        <w:tblpPr w:leftFromText="180" w:rightFromText="180" w:vertAnchor="text" w:horzAnchor="margin" w:tblpXSpec="center" w:tblpY="1668"/>
        <w:tblOverlap w:val="never"/>
        <w:tblW w:w="7256"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170"/>
        <w:gridCol w:w="1080"/>
        <w:gridCol w:w="829"/>
        <w:gridCol w:w="829"/>
      </w:tblGrid>
      <w:tr w:rsidR="005A633D" w:rsidRPr="00CC7099" w:rsidTr="009A68E5">
        <w:trPr>
          <w:trHeight w:val="335"/>
        </w:trPr>
        <w:tc>
          <w:tcPr>
            <w:tcW w:w="3348" w:type="dxa"/>
            <w:tcBorders>
              <w:left w:val="single" w:sz="4" w:space="0" w:color="auto"/>
            </w:tcBorders>
            <w:shd w:val="clear" w:color="auto" w:fill="auto"/>
            <w:noWrap/>
            <w:vAlign w:val="bottom"/>
            <w:hideMark/>
          </w:tcPr>
          <w:p w:rsidR="005A633D" w:rsidRPr="0098093F" w:rsidRDefault="005A633D" w:rsidP="009A68E5">
            <w:pPr>
              <w:rPr>
                <w:rFonts w:cs="Calibri"/>
                <w:b/>
                <w:bCs/>
                <w:color w:val="000000"/>
              </w:rPr>
            </w:pPr>
            <w:r>
              <w:rPr>
                <w:rFonts w:cs="Calibri"/>
                <w:b/>
                <w:bCs/>
                <w:color w:val="000000"/>
              </w:rPr>
              <w:t>Access Services</w:t>
            </w:r>
            <w:r w:rsidRPr="0098093F">
              <w:rPr>
                <w:rFonts w:cs="Calibri"/>
                <w:b/>
                <w:bCs/>
                <w:color w:val="000000"/>
              </w:rPr>
              <w:t xml:space="preserve"> </w:t>
            </w:r>
            <w:r>
              <w:rPr>
                <w:rFonts w:cs="Calibri"/>
                <w:b/>
                <w:bCs/>
                <w:color w:val="000000"/>
              </w:rPr>
              <w:t>Interactions</w:t>
            </w:r>
          </w:p>
        </w:tc>
        <w:tc>
          <w:tcPr>
            <w:tcW w:w="1170" w:type="dxa"/>
            <w:shd w:val="clear" w:color="auto" w:fill="auto"/>
            <w:noWrap/>
            <w:vAlign w:val="bottom"/>
            <w:hideMark/>
          </w:tcPr>
          <w:p w:rsidR="005A633D" w:rsidRPr="0098093F" w:rsidRDefault="005A633D" w:rsidP="009A68E5">
            <w:pPr>
              <w:jc w:val="center"/>
              <w:rPr>
                <w:rFonts w:cs="Calibri"/>
                <w:b/>
                <w:bCs/>
                <w:color w:val="000000"/>
              </w:rPr>
            </w:pPr>
            <w:r w:rsidRPr="0098093F">
              <w:rPr>
                <w:rFonts w:cs="Calibri"/>
                <w:b/>
                <w:bCs/>
                <w:color w:val="000000"/>
              </w:rPr>
              <w:t>FY10</w:t>
            </w:r>
          </w:p>
        </w:tc>
        <w:tc>
          <w:tcPr>
            <w:tcW w:w="1080" w:type="dxa"/>
            <w:shd w:val="clear" w:color="auto" w:fill="auto"/>
            <w:noWrap/>
            <w:vAlign w:val="bottom"/>
            <w:hideMark/>
          </w:tcPr>
          <w:p w:rsidR="005A633D" w:rsidRPr="0098093F" w:rsidRDefault="005A633D" w:rsidP="009A68E5">
            <w:pPr>
              <w:jc w:val="center"/>
              <w:rPr>
                <w:rFonts w:cs="Calibri"/>
                <w:b/>
                <w:bCs/>
                <w:color w:val="000000"/>
              </w:rPr>
            </w:pPr>
            <w:r w:rsidRPr="0098093F">
              <w:rPr>
                <w:rFonts w:cs="Calibri"/>
                <w:b/>
                <w:bCs/>
                <w:color w:val="000000"/>
              </w:rPr>
              <w:t>FY11</w:t>
            </w:r>
          </w:p>
        </w:tc>
        <w:tc>
          <w:tcPr>
            <w:tcW w:w="829" w:type="dxa"/>
          </w:tcPr>
          <w:p w:rsidR="005A633D" w:rsidRDefault="005A633D" w:rsidP="009A68E5">
            <w:pPr>
              <w:rPr>
                <w:b/>
                <w:bCs/>
                <w:color w:val="000000"/>
              </w:rPr>
            </w:pPr>
            <w:r>
              <w:rPr>
                <w:b/>
                <w:bCs/>
                <w:color w:val="000000"/>
              </w:rPr>
              <w:t>FY12</w:t>
            </w:r>
          </w:p>
        </w:tc>
        <w:tc>
          <w:tcPr>
            <w:tcW w:w="829" w:type="dxa"/>
          </w:tcPr>
          <w:p w:rsidR="005A633D" w:rsidRDefault="005A633D" w:rsidP="009A68E5">
            <w:pPr>
              <w:rPr>
                <w:b/>
                <w:bCs/>
                <w:color w:val="000000"/>
              </w:rPr>
            </w:pPr>
            <w:r>
              <w:rPr>
                <w:b/>
                <w:bCs/>
                <w:color w:val="000000"/>
              </w:rPr>
              <w:t>FY13</w:t>
            </w:r>
          </w:p>
        </w:tc>
      </w:tr>
      <w:tr w:rsidR="005A633D" w:rsidRPr="00CC7099" w:rsidTr="003F7820">
        <w:trPr>
          <w:trHeight w:val="344"/>
        </w:trPr>
        <w:tc>
          <w:tcPr>
            <w:tcW w:w="3348" w:type="dxa"/>
            <w:tcBorders>
              <w:left w:val="single" w:sz="4" w:space="0" w:color="auto"/>
            </w:tcBorders>
            <w:shd w:val="clear" w:color="auto" w:fill="auto"/>
            <w:vAlign w:val="bottom"/>
            <w:hideMark/>
          </w:tcPr>
          <w:p w:rsidR="005A633D" w:rsidRPr="0098093F" w:rsidRDefault="005A633D" w:rsidP="009A68E5">
            <w:pPr>
              <w:rPr>
                <w:rFonts w:cs="Calibri"/>
                <w:b/>
                <w:bCs/>
                <w:color w:val="000000"/>
              </w:rPr>
            </w:pPr>
            <w:r w:rsidRPr="0098093F">
              <w:rPr>
                <w:rFonts w:cs="Calibri"/>
                <w:b/>
                <w:bCs/>
                <w:color w:val="000000"/>
              </w:rPr>
              <w:t>Circulation Desk Interactions</w:t>
            </w:r>
          </w:p>
        </w:tc>
        <w:tc>
          <w:tcPr>
            <w:tcW w:w="117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9,157</w:t>
            </w:r>
          </w:p>
        </w:tc>
        <w:tc>
          <w:tcPr>
            <w:tcW w:w="108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6,431</w:t>
            </w:r>
          </w:p>
        </w:tc>
        <w:tc>
          <w:tcPr>
            <w:tcW w:w="829" w:type="dxa"/>
            <w:vAlign w:val="center"/>
          </w:tcPr>
          <w:p w:rsidR="005A633D" w:rsidRDefault="005A633D" w:rsidP="003F7820">
            <w:pPr>
              <w:jc w:val="right"/>
              <w:rPr>
                <w:color w:val="000000"/>
              </w:rPr>
            </w:pPr>
            <w:r>
              <w:rPr>
                <w:color w:val="000000"/>
              </w:rPr>
              <w:t>20,176</w:t>
            </w:r>
          </w:p>
        </w:tc>
        <w:tc>
          <w:tcPr>
            <w:tcW w:w="829" w:type="dxa"/>
            <w:vAlign w:val="center"/>
          </w:tcPr>
          <w:p w:rsidR="005A633D" w:rsidRDefault="005A633D" w:rsidP="003F7820">
            <w:pPr>
              <w:jc w:val="right"/>
              <w:rPr>
                <w:color w:val="000000"/>
              </w:rPr>
            </w:pPr>
            <w:r>
              <w:rPr>
                <w:color w:val="000000"/>
              </w:rPr>
              <w:t>20,872</w:t>
            </w:r>
          </w:p>
        </w:tc>
      </w:tr>
      <w:tr w:rsidR="005A633D" w:rsidRPr="00CC7099" w:rsidTr="003F7820">
        <w:trPr>
          <w:trHeight w:val="320"/>
        </w:trPr>
        <w:tc>
          <w:tcPr>
            <w:tcW w:w="3348" w:type="dxa"/>
            <w:tcBorders>
              <w:left w:val="single" w:sz="4" w:space="0" w:color="auto"/>
            </w:tcBorders>
            <w:shd w:val="clear" w:color="auto" w:fill="auto"/>
            <w:noWrap/>
            <w:vAlign w:val="bottom"/>
            <w:hideMark/>
          </w:tcPr>
          <w:p w:rsidR="005A633D" w:rsidRPr="0098093F" w:rsidRDefault="005A633D" w:rsidP="009A68E5">
            <w:pPr>
              <w:rPr>
                <w:rFonts w:cs="Calibri"/>
                <w:b/>
                <w:bCs/>
                <w:color w:val="000000"/>
              </w:rPr>
            </w:pPr>
            <w:r w:rsidRPr="0098093F">
              <w:rPr>
                <w:rFonts w:cs="Calibri"/>
                <w:b/>
                <w:bCs/>
                <w:color w:val="000000"/>
              </w:rPr>
              <w:t xml:space="preserve">Copier Questions </w:t>
            </w:r>
            <w:r>
              <w:rPr>
                <w:rFonts w:cs="Calibri"/>
                <w:b/>
                <w:bCs/>
                <w:color w:val="000000"/>
              </w:rPr>
              <w:t xml:space="preserve"> </w:t>
            </w:r>
          </w:p>
        </w:tc>
        <w:tc>
          <w:tcPr>
            <w:tcW w:w="117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351</w:t>
            </w:r>
          </w:p>
        </w:tc>
        <w:tc>
          <w:tcPr>
            <w:tcW w:w="108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206</w:t>
            </w:r>
          </w:p>
        </w:tc>
        <w:tc>
          <w:tcPr>
            <w:tcW w:w="829" w:type="dxa"/>
            <w:vAlign w:val="center"/>
          </w:tcPr>
          <w:p w:rsidR="005A633D" w:rsidRDefault="005A633D" w:rsidP="003F7820">
            <w:pPr>
              <w:jc w:val="right"/>
              <w:rPr>
                <w:color w:val="000000"/>
              </w:rPr>
            </w:pPr>
            <w:r>
              <w:rPr>
                <w:color w:val="000000"/>
              </w:rPr>
              <w:t>250</w:t>
            </w:r>
          </w:p>
        </w:tc>
        <w:tc>
          <w:tcPr>
            <w:tcW w:w="829" w:type="dxa"/>
            <w:vAlign w:val="center"/>
          </w:tcPr>
          <w:p w:rsidR="005A633D" w:rsidRDefault="005A633D" w:rsidP="003F7820">
            <w:pPr>
              <w:jc w:val="right"/>
              <w:rPr>
                <w:color w:val="000000"/>
              </w:rPr>
            </w:pPr>
            <w:r>
              <w:rPr>
                <w:color w:val="000000"/>
              </w:rPr>
              <w:t>646*</w:t>
            </w:r>
          </w:p>
        </w:tc>
      </w:tr>
      <w:tr w:rsidR="005A633D" w:rsidRPr="00CC7099" w:rsidTr="003F7820">
        <w:trPr>
          <w:trHeight w:val="320"/>
        </w:trPr>
        <w:tc>
          <w:tcPr>
            <w:tcW w:w="3348" w:type="dxa"/>
            <w:tcBorders>
              <w:left w:val="single" w:sz="4" w:space="0" w:color="auto"/>
            </w:tcBorders>
            <w:shd w:val="clear" w:color="auto" w:fill="auto"/>
            <w:noWrap/>
            <w:vAlign w:val="bottom"/>
            <w:hideMark/>
          </w:tcPr>
          <w:p w:rsidR="005A633D" w:rsidRPr="0098093F" w:rsidRDefault="005A633D" w:rsidP="009A68E5">
            <w:pPr>
              <w:rPr>
                <w:rFonts w:cs="Calibri"/>
                <w:b/>
                <w:bCs/>
                <w:color w:val="000000"/>
              </w:rPr>
            </w:pPr>
            <w:r>
              <w:rPr>
                <w:rFonts w:cs="Calibri"/>
                <w:b/>
                <w:bCs/>
                <w:color w:val="000000"/>
              </w:rPr>
              <w:t xml:space="preserve">Printing Questions </w:t>
            </w:r>
            <w:r w:rsidR="00D67CD4">
              <w:rPr>
                <w:rFonts w:cs="Calibri"/>
                <w:b/>
                <w:bCs/>
                <w:color w:val="FF0000"/>
              </w:rPr>
              <w:t>(combined with Copier</w:t>
            </w:r>
            <w:r w:rsidRPr="00284945">
              <w:rPr>
                <w:rFonts w:cs="Calibri"/>
                <w:b/>
                <w:bCs/>
                <w:color w:val="FF0000"/>
              </w:rPr>
              <w:t xml:space="preserve"> Questions for FY13</w:t>
            </w:r>
            <w:r w:rsidR="00D67CD4">
              <w:rPr>
                <w:rFonts w:cs="Calibri"/>
                <w:b/>
                <w:bCs/>
                <w:color w:val="FF0000"/>
              </w:rPr>
              <w:t>*</w:t>
            </w:r>
            <w:r w:rsidRPr="00284945">
              <w:rPr>
                <w:rFonts w:cs="Calibri"/>
                <w:b/>
                <w:bCs/>
                <w:color w:val="FF0000"/>
              </w:rPr>
              <w:t>)</w:t>
            </w:r>
          </w:p>
        </w:tc>
        <w:tc>
          <w:tcPr>
            <w:tcW w:w="117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1,635</w:t>
            </w:r>
          </w:p>
        </w:tc>
        <w:tc>
          <w:tcPr>
            <w:tcW w:w="108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169</w:t>
            </w:r>
          </w:p>
        </w:tc>
        <w:tc>
          <w:tcPr>
            <w:tcW w:w="829" w:type="dxa"/>
            <w:vAlign w:val="center"/>
          </w:tcPr>
          <w:p w:rsidR="005A633D" w:rsidRDefault="005A633D" w:rsidP="003F7820">
            <w:pPr>
              <w:jc w:val="right"/>
              <w:rPr>
                <w:color w:val="000000"/>
              </w:rPr>
            </w:pPr>
            <w:r>
              <w:rPr>
                <w:color w:val="000000"/>
              </w:rPr>
              <w:t>1289</w:t>
            </w:r>
          </w:p>
        </w:tc>
        <w:tc>
          <w:tcPr>
            <w:tcW w:w="829" w:type="dxa"/>
            <w:vAlign w:val="center"/>
          </w:tcPr>
          <w:p w:rsidR="005A633D" w:rsidRDefault="005A633D" w:rsidP="003F7820">
            <w:pPr>
              <w:jc w:val="right"/>
              <w:rPr>
                <w:color w:val="000000"/>
              </w:rPr>
            </w:pPr>
          </w:p>
        </w:tc>
      </w:tr>
      <w:tr w:rsidR="005A633D" w:rsidRPr="00CC7099" w:rsidTr="003F7820">
        <w:trPr>
          <w:trHeight w:val="320"/>
        </w:trPr>
        <w:tc>
          <w:tcPr>
            <w:tcW w:w="3348" w:type="dxa"/>
            <w:tcBorders>
              <w:left w:val="single" w:sz="4" w:space="0" w:color="auto"/>
            </w:tcBorders>
            <w:shd w:val="clear" w:color="auto" w:fill="auto"/>
            <w:noWrap/>
            <w:vAlign w:val="bottom"/>
            <w:hideMark/>
          </w:tcPr>
          <w:p w:rsidR="005A633D" w:rsidRPr="0098093F" w:rsidRDefault="005A633D" w:rsidP="009A68E5">
            <w:pPr>
              <w:rPr>
                <w:rFonts w:cs="Calibri"/>
                <w:b/>
                <w:bCs/>
                <w:color w:val="000000"/>
              </w:rPr>
            </w:pPr>
            <w:r w:rsidRPr="0098093F">
              <w:rPr>
                <w:rFonts w:cs="Calibri"/>
                <w:b/>
                <w:bCs/>
                <w:color w:val="000000"/>
              </w:rPr>
              <w:t>Reference Referrals</w:t>
            </w:r>
          </w:p>
        </w:tc>
        <w:tc>
          <w:tcPr>
            <w:tcW w:w="117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370</w:t>
            </w:r>
          </w:p>
        </w:tc>
        <w:tc>
          <w:tcPr>
            <w:tcW w:w="108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453</w:t>
            </w:r>
          </w:p>
        </w:tc>
        <w:tc>
          <w:tcPr>
            <w:tcW w:w="829" w:type="dxa"/>
            <w:vAlign w:val="center"/>
          </w:tcPr>
          <w:p w:rsidR="005A633D" w:rsidRDefault="005A633D" w:rsidP="003F7820">
            <w:pPr>
              <w:jc w:val="right"/>
              <w:rPr>
                <w:color w:val="000000"/>
              </w:rPr>
            </w:pPr>
            <w:r>
              <w:rPr>
                <w:color w:val="000000"/>
              </w:rPr>
              <w:t>424</w:t>
            </w:r>
          </w:p>
        </w:tc>
        <w:tc>
          <w:tcPr>
            <w:tcW w:w="829" w:type="dxa"/>
            <w:vAlign w:val="center"/>
          </w:tcPr>
          <w:p w:rsidR="005A633D" w:rsidRDefault="005A633D" w:rsidP="003F7820">
            <w:pPr>
              <w:jc w:val="right"/>
              <w:rPr>
                <w:color w:val="000000"/>
              </w:rPr>
            </w:pPr>
            <w:r>
              <w:rPr>
                <w:color w:val="000000"/>
              </w:rPr>
              <w:t>773</w:t>
            </w:r>
          </w:p>
        </w:tc>
      </w:tr>
      <w:tr w:rsidR="005A633D" w:rsidRPr="00CC7099" w:rsidTr="003F7820">
        <w:trPr>
          <w:trHeight w:val="320"/>
        </w:trPr>
        <w:tc>
          <w:tcPr>
            <w:tcW w:w="3348" w:type="dxa"/>
            <w:tcBorders>
              <w:left w:val="single" w:sz="4" w:space="0" w:color="auto"/>
            </w:tcBorders>
            <w:shd w:val="clear" w:color="auto" w:fill="auto"/>
            <w:noWrap/>
            <w:vAlign w:val="bottom"/>
            <w:hideMark/>
          </w:tcPr>
          <w:p w:rsidR="005A633D" w:rsidRPr="0098093F" w:rsidRDefault="005A633D" w:rsidP="009A68E5">
            <w:pPr>
              <w:rPr>
                <w:rFonts w:cs="Calibri"/>
                <w:b/>
                <w:bCs/>
                <w:color w:val="000000"/>
              </w:rPr>
            </w:pPr>
            <w:r w:rsidRPr="0098093F">
              <w:rPr>
                <w:rFonts w:cs="Calibri"/>
                <w:b/>
                <w:bCs/>
                <w:color w:val="000000"/>
              </w:rPr>
              <w:t>Other</w:t>
            </w:r>
          </w:p>
        </w:tc>
        <w:tc>
          <w:tcPr>
            <w:tcW w:w="117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1,903</w:t>
            </w:r>
          </w:p>
        </w:tc>
        <w:tc>
          <w:tcPr>
            <w:tcW w:w="108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1,911</w:t>
            </w:r>
          </w:p>
        </w:tc>
        <w:tc>
          <w:tcPr>
            <w:tcW w:w="829" w:type="dxa"/>
            <w:vAlign w:val="center"/>
          </w:tcPr>
          <w:p w:rsidR="005A633D" w:rsidRDefault="005A633D" w:rsidP="003F7820">
            <w:pPr>
              <w:jc w:val="right"/>
              <w:rPr>
                <w:color w:val="000000"/>
              </w:rPr>
            </w:pPr>
            <w:r>
              <w:rPr>
                <w:color w:val="000000"/>
              </w:rPr>
              <w:t>8269</w:t>
            </w:r>
          </w:p>
        </w:tc>
        <w:tc>
          <w:tcPr>
            <w:tcW w:w="829" w:type="dxa"/>
            <w:vAlign w:val="center"/>
          </w:tcPr>
          <w:p w:rsidR="005A633D" w:rsidRDefault="005A633D" w:rsidP="003F7820">
            <w:pPr>
              <w:jc w:val="right"/>
              <w:rPr>
                <w:color w:val="000000"/>
              </w:rPr>
            </w:pPr>
            <w:r>
              <w:rPr>
                <w:color w:val="000000"/>
              </w:rPr>
              <w:t>4512</w:t>
            </w:r>
          </w:p>
        </w:tc>
      </w:tr>
      <w:tr w:rsidR="005A633D" w:rsidRPr="00CC7099" w:rsidTr="003F7820">
        <w:trPr>
          <w:trHeight w:val="320"/>
        </w:trPr>
        <w:tc>
          <w:tcPr>
            <w:tcW w:w="3348" w:type="dxa"/>
            <w:tcBorders>
              <w:left w:val="single" w:sz="4" w:space="0" w:color="auto"/>
            </w:tcBorders>
            <w:shd w:val="clear" w:color="auto" w:fill="auto"/>
            <w:noWrap/>
            <w:vAlign w:val="bottom"/>
          </w:tcPr>
          <w:p w:rsidR="005A633D" w:rsidRPr="00284945" w:rsidRDefault="005A633D" w:rsidP="009A68E5">
            <w:pPr>
              <w:rPr>
                <w:rFonts w:cs="Calibri"/>
                <w:b/>
                <w:bCs/>
                <w:color w:val="FF0000"/>
              </w:rPr>
            </w:pPr>
            <w:r>
              <w:rPr>
                <w:rFonts w:cs="Calibri"/>
                <w:b/>
                <w:bCs/>
                <w:color w:val="000000"/>
              </w:rPr>
              <w:t xml:space="preserve">Directional Questions </w:t>
            </w:r>
            <w:r w:rsidR="00D67CD4">
              <w:rPr>
                <w:rFonts w:cs="Calibri"/>
                <w:b/>
                <w:bCs/>
                <w:color w:val="000000"/>
              </w:rPr>
              <w:t xml:space="preserve"> </w:t>
            </w:r>
            <w:r w:rsidR="00D67CD4">
              <w:rPr>
                <w:rFonts w:cs="Calibri"/>
                <w:b/>
                <w:bCs/>
                <w:color w:val="FF0000"/>
              </w:rPr>
              <w:t>(n</w:t>
            </w:r>
            <w:r>
              <w:rPr>
                <w:rFonts w:cs="Calibri"/>
                <w:b/>
                <w:bCs/>
                <w:color w:val="FF0000"/>
              </w:rPr>
              <w:t>ew</w:t>
            </w:r>
            <w:r w:rsidR="00D67CD4">
              <w:rPr>
                <w:rFonts w:cs="Calibri"/>
                <w:b/>
                <w:bCs/>
                <w:color w:val="FF0000"/>
              </w:rPr>
              <w:t>)</w:t>
            </w:r>
          </w:p>
        </w:tc>
        <w:tc>
          <w:tcPr>
            <w:tcW w:w="1170" w:type="dxa"/>
            <w:shd w:val="clear" w:color="auto" w:fill="auto"/>
            <w:noWrap/>
            <w:vAlign w:val="center"/>
          </w:tcPr>
          <w:p w:rsidR="005A633D" w:rsidRPr="0098093F" w:rsidRDefault="005A633D" w:rsidP="003F7820">
            <w:pPr>
              <w:jc w:val="right"/>
              <w:rPr>
                <w:rFonts w:cs="Calibri"/>
                <w:color w:val="000000"/>
              </w:rPr>
            </w:pPr>
          </w:p>
        </w:tc>
        <w:tc>
          <w:tcPr>
            <w:tcW w:w="1080" w:type="dxa"/>
            <w:shd w:val="clear" w:color="auto" w:fill="auto"/>
            <w:noWrap/>
            <w:vAlign w:val="center"/>
          </w:tcPr>
          <w:p w:rsidR="005A633D" w:rsidRPr="0098093F" w:rsidRDefault="005A633D" w:rsidP="003F7820">
            <w:pPr>
              <w:jc w:val="right"/>
              <w:rPr>
                <w:rFonts w:cs="Calibri"/>
                <w:color w:val="000000"/>
              </w:rPr>
            </w:pPr>
          </w:p>
        </w:tc>
        <w:tc>
          <w:tcPr>
            <w:tcW w:w="829" w:type="dxa"/>
            <w:vAlign w:val="center"/>
          </w:tcPr>
          <w:p w:rsidR="005A633D" w:rsidRDefault="005A633D" w:rsidP="003F7820">
            <w:pPr>
              <w:jc w:val="right"/>
              <w:rPr>
                <w:color w:val="000000"/>
              </w:rPr>
            </w:pPr>
          </w:p>
        </w:tc>
        <w:tc>
          <w:tcPr>
            <w:tcW w:w="829" w:type="dxa"/>
            <w:vAlign w:val="center"/>
          </w:tcPr>
          <w:p w:rsidR="005A633D" w:rsidRDefault="005A633D" w:rsidP="003F7820">
            <w:pPr>
              <w:jc w:val="right"/>
              <w:rPr>
                <w:color w:val="000000"/>
              </w:rPr>
            </w:pPr>
            <w:r>
              <w:rPr>
                <w:color w:val="000000"/>
              </w:rPr>
              <w:t>1983</w:t>
            </w:r>
          </w:p>
        </w:tc>
      </w:tr>
      <w:tr w:rsidR="005A633D" w:rsidRPr="00CC7099" w:rsidTr="003F7820">
        <w:trPr>
          <w:trHeight w:val="335"/>
        </w:trPr>
        <w:tc>
          <w:tcPr>
            <w:tcW w:w="3348" w:type="dxa"/>
            <w:tcBorders>
              <w:left w:val="single" w:sz="4" w:space="0" w:color="auto"/>
            </w:tcBorders>
            <w:shd w:val="clear" w:color="auto" w:fill="auto"/>
            <w:noWrap/>
            <w:vAlign w:val="bottom"/>
            <w:hideMark/>
          </w:tcPr>
          <w:p w:rsidR="005A633D" w:rsidRPr="0098093F" w:rsidRDefault="005A633D" w:rsidP="009A68E5">
            <w:pPr>
              <w:rPr>
                <w:rFonts w:cs="Calibri"/>
                <w:b/>
                <w:bCs/>
                <w:color w:val="000000"/>
              </w:rPr>
            </w:pPr>
            <w:r w:rsidRPr="0098093F">
              <w:rPr>
                <w:rFonts w:cs="Calibri"/>
                <w:b/>
                <w:bCs/>
                <w:color w:val="000000"/>
              </w:rPr>
              <w:t>Total</w:t>
            </w:r>
          </w:p>
        </w:tc>
        <w:tc>
          <w:tcPr>
            <w:tcW w:w="117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12,599</w:t>
            </w:r>
          </w:p>
        </w:tc>
        <w:tc>
          <w:tcPr>
            <w:tcW w:w="1080" w:type="dxa"/>
            <w:shd w:val="clear" w:color="auto" w:fill="auto"/>
            <w:noWrap/>
            <w:vAlign w:val="center"/>
            <w:hideMark/>
          </w:tcPr>
          <w:p w:rsidR="005A633D" w:rsidRPr="0098093F" w:rsidRDefault="005A633D" w:rsidP="003F7820">
            <w:pPr>
              <w:jc w:val="right"/>
              <w:rPr>
                <w:rFonts w:cs="Calibri"/>
                <w:color w:val="000000"/>
              </w:rPr>
            </w:pPr>
            <w:r w:rsidRPr="0098093F">
              <w:rPr>
                <w:rFonts w:cs="Calibri"/>
                <w:color w:val="000000"/>
              </w:rPr>
              <w:t>9,170</w:t>
            </w:r>
          </w:p>
        </w:tc>
        <w:tc>
          <w:tcPr>
            <w:tcW w:w="829" w:type="dxa"/>
            <w:vAlign w:val="center"/>
          </w:tcPr>
          <w:p w:rsidR="005A633D" w:rsidRDefault="005A633D" w:rsidP="003F7820">
            <w:pPr>
              <w:jc w:val="right"/>
              <w:rPr>
                <w:color w:val="000000"/>
              </w:rPr>
            </w:pPr>
            <w:r>
              <w:rPr>
                <w:color w:val="000000"/>
              </w:rPr>
              <w:t>30,158</w:t>
            </w:r>
          </w:p>
        </w:tc>
        <w:tc>
          <w:tcPr>
            <w:tcW w:w="829" w:type="dxa"/>
            <w:vAlign w:val="center"/>
          </w:tcPr>
          <w:p w:rsidR="005A633D" w:rsidRDefault="005A633D" w:rsidP="003F7820">
            <w:pPr>
              <w:jc w:val="right"/>
              <w:rPr>
                <w:color w:val="000000"/>
              </w:rPr>
            </w:pPr>
            <w:r>
              <w:rPr>
                <w:color w:val="000000"/>
              </w:rPr>
              <w:t>28,786</w:t>
            </w:r>
          </w:p>
        </w:tc>
      </w:tr>
    </w:tbl>
    <w:p w:rsidR="00556AD0" w:rsidRDefault="00556AD0" w:rsidP="00556AD0"/>
    <w:p w:rsidR="00556AD0" w:rsidRDefault="00556AD0" w:rsidP="00556AD0"/>
    <w:p w:rsidR="00556AD0" w:rsidRPr="008C66A3" w:rsidRDefault="00556AD0" w:rsidP="00556AD0"/>
    <w:p w:rsidR="00556AD0" w:rsidRPr="008C66A3" w:rsidRDefault="00556AD0" w:rsidP="00556AD0"/>
    <w:p w:rsidR="00556AD0" w:rsidRPr="008C66A3" w:rsidRDefault="00556AD0" w:rsidP="00556AD0"/>
    <w:p w:rsidR="00556AD0" w:rsidRDefault="00556AD0" w:rsidP="00556AD0"/>
    <w:p w:rsidR="00556AD0" w:rsidRPr="008C66A3" w:rsidRDefault="00556AD0" w:rsidP="00556AD0"/>
    <w:p w:rsidR="00556AD0" w:rsidRPr="008C66A3" w:rsidRDefault="00556AD0" w:rsidP="00556AD0"/>
    <w:p w:rsidR="00556AD0" w:rsidRPr="008C66A3" w:rsidRDefault="00556AD0" w:rsidP="00556AD0"/>
    <w:p w:rsidR="00556AD0" w:rsidRPr="008C66A3" w:rsidRDefault="00556AD0" w:rsidP="00556AD0"/>
    <w:p w:rsidR="00556AD0" w:rsidRPr="008C66A3" w:rsidRDefault="00556AD0" w:rsidP="00556AD0"/>
    <w:p w:rsidR="00556AD0" w:rsidRPr="008C66A3" w:rsidRDefault="00556AD0" w:rsidP="00556AD0"/>
    <w:p w:rsidR="00556AD0" w:rsidRDefault="00556AD0" w:rsidP="00556AD0"/>
    <w:tbl>
      <w:tblPr>
        <w:tblpPr w:leftFromText="180" w:rightFromText="180" w:vertAnchor="text" w:horzAnchor="page" w:tblpX="238" w:tblpY="2467"/>
        <w:tblW w:w="5291" w:type="dxa"/>
        <w:tblLook w:val="04A0" w:firstRow="1" w:lastRow="0" w:firstColumn="1" w:lastColumn="0" w:noHBand="0" w:noVBand="1"/>
      </w:tblPr>
      <w:tblGrid>
        <w:gridCol w:w="2040"/>
        <w:gridCol w:w="718"/>
        <w:gridCol w:w="222"/>
        <w:gridCol w:w="718"/>
        <w:gridCol w:w="718"/>
        <w:gridCol w:w="875"/>
      </w:tblGrid>
      <w:tr w:rsidR="005D44A1" w:rsidRPr="0049620F" w:rsidTr="009A68E5">
        <w:trPr>
          <w:trHeight w:val="286"/>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33D" w:rsidRPr="00991BB7" w:rsidRDefault="005A633D" w:rsidP="009A68E5">
            <w:pPr>
              <w:rPr>
                <w:rFonts w:cs="Calibri"/>
                <w:b/>
                <w:bCs/>
                <w:color w:val="000000"/>
              </w:rPr>
            </w:pPr>
            <w:r w:rsidRPr="00991BB7">
              <w:rPr>
                <w:rFonts w:cs="Calibri"/>
                <w:b/>
                <w:bCs/>
                <w:color w:val="000000"/>
              </w:rPr>
              <w:t>Interlibrary Loan as Lender</w:t>
            </w:r>
          </w:p>
        </w:tc>
        <w:tc>
          <w:tcPr>
            <w:tcW w:w="718" w:type="dxa"/>
            <w:tcBorders>
              <w:top w:val="single" w:sz="4" w:space="0" w:color="auto"/>
              <w:left w:val="nil"/>
              <w:bottom w:val="single" w:sz="4" w:space="0" w:color="auto"/>
              <w:right w:val="nil"/>
            </w:tcBorders>
            <w:vAlign w:val="bottom"/>
          </w:tcPr>
          <w:p w:rsidR="005A633D" w:rsidRPr="00991BB7" w:rsidRDefault="005A633D" w:rsidP="009A68E5">
            <w:pPr>
              <w:jc w:val="center"/>
              <w:rPr>
                <w:rFonts w:cs="Calibri"/>
                <w:b/>
                <w:bCs/>
                <w:color w:val="000000"/>
              </w:rPr>
            </w:pPr>
            <w:r w:rsidRPr="00991BB7">
              <w:rPr>
                <w:rFonts w:cs="Calibri"/>
                <w:b/>
                <w:bCs/>
                <w:color w:val="000000"/>
              </w:rPr>
              <w:t>FY 10</w:t>
            </w:r>
          </w:p>
        </w:tc>
        <w:tc>
          <w:tcPr>
            <w:tcW w:w="222" w:type="dxa"/>
            <w:tcBorders>
              <w:top w:val="single" w:sz="4" w:space="0" w:color="auto"/>
              <w:left w:val="nil"/>
              <w:bottom w:val="single" w:sz="4" w:space="0" w:color="auto"/>
              <w:right w:val="single" w:sz="4" w:space="0" w:color="auto"/>
            </w:tcBorders>
            <w:shd w:val="clear" w:color="auto" w:fill="auto"/>
            <w:noWrap/>
            <w:vAlign w:val="bottom"/>
            <w:hideMark/>
          </w:tcPr>
          <w:p w:rsidR="005A633D" w:rsidRPr="00991BB7" w:rsidRDefault="005A633D" w:rsidP="009A68E5">
            <w:pPr>
              <w:rPr>
                <w:rFonts w:cs="Calibri"/>
                <w:b/>
                <w:bCs/>
                <w:color w:val="000000"/>
              </w:rPr>
            </w:pPr>
          </w:p>
        </w:tc>
        <w:tc>
          <w:tcPr>
            <w:tcW w:w="718" w:type="dxa"/>
            <w:tcBorders>
              <w:top w:val="single" w:sz="4" w:space="0" w:color="auto"/>
              <w:left w:val="nil"/>
              <w:bottom w:val="single" w:sz="4" w:space="0" w:color="auto"/>
              <w:right w:val="single" w:sz="4" w:space="0" w:color="auto"/>
            </w:tcBorders>
            <w:vAlign w:val="bottom"/>
          </w:tcPr>
          <w:p w:rsidR="005A633D" w:rsidRPr="00991BB7" w:rsidRDefault="005A633D" w:rsidP="009A68E5">
            <w:pPr>
              <w:jc w:val="center"/>
              <w:rPr>
                <w:rFonts w:cs="Calibri"/>
                <w:b/>
                <w:bCs/>
                <w:color w:val="000000"/>
              </w:rPr>
            </w:pPr>
            <w:r w:rsidRPr="00991BB7">
              <w:rPr>
                <w:rFonts w:cs="Calibri"/>
                <w:b/>
                <w:bCs/>
                <w:color w:val="000000"/>
              </w:rPr>
              <w:t>FY11</w:t>
            </w:r>
          </w:p>
        </w:tc>
        <w:tc>
          <w:tcPr>
            <w:tcW w:w="718" w:type="dxa"/>
            <w:tcBorders>
              <w:top w:val="single" w:sz="4" w:space="0" w:color="auto"/>
              <w:left w:val="nil"/>
              <w:bottom w:val="single" w:sz="4" w:space="0" w:color="auto"/>
              <w:right w:val="single" w:sz="4" w:space="0" w:color="auto"/>
            </w:tcBorders>
            <w:vAlign w:val="bottom"/>
          </w:tcPr>
          <w:p w:rsidR="005A633D" w:rsidRPr="00991BB7" w:rsidRDefault="005A633D" w:rsidP="009A68E5">
            <w:pPr>
              <w:jc w:val="center"/>
              <w:rPr>
                <w:rFonts w:cs="Calibri"/>
                <w:b/>
                <w:bCs/>
                <w:color w:val="000000"/>
              </w:rPr>
            </w:pPr>
            <w:r>
              <w:rPr>
                <w:rFonts w:cs="Calibri"/>
                <w:b/>
                <w:bCs/>
                <w:color w:val="000000"/>
              </w:rPr>
              <w:t>FY12</w:t>
            </w:r>
          </w:p>
        </w:tc>
        <w:tc>
          <w:tcPr>
            <w:tcW w:w="875" w:type="dxa"/>
            <w:tcBorders>
              <w:top w:val="single" w:sz="4" w:space="0" w:color="auto"/>
              <w:left w:val="nil"/>
              <w:bottom w:val="single" w:sz="4" w:space="0" w:color="auto"/>
              <w:right w:val="single" w:sz="4" w:space="0" w:color="auto"/>
            </w:tcBorders>
          </w:tcPr>
          <w:p w:rsidR="003F7820" w:rsidRDefault="003F7820" w:rsidP="009A68E5">
            <w:pPr>
              <w:jc w:val="center"/>
              <w:rPr>
                <w:rFonts w:cs="Calibri"/>
                <w:b/>
                <w:bCs/>
                <w:color w:val="000000"/>
              </w:rPr>
            </w:pPr>
          </w:p>
          <w:p w:rsidR="005A633D" w:rsidRDefault="005A633D" w:rsidP="009A68E5">
            <w:pPr>
              <w:jc w:val="center"/>
              <w:rPr>
                <w:rFonts w:cs="Calibri"/>
                <w:b/>
                <w:bCs/>
                <w:color w:val="000000"/>
              </w:rPr>
            </w:pPr>
            <w:r>
              <w:rPr>
                <w:rFonts w:cs="Calibri"/>
                <w:b/>
                <w:bCs/>
                <w:color w:val="000000"/>
              </w:rPr>
              <w:t>FY13</w:t>
            </w:r>
          </w:p>
        </w:tc>
      </w:tr>
      <w:tr w:rsidR="005D44A1" w:rsidRPr="0049620F" w:rsidTr="009A68E5">
        <w:trPr>
          <w:trHeight w:val="273"/>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A633D" w:rsidRPr="003F6C01" w:rsidRDefault="005A633D" w:rsidP="009A68E5">
            <w:pPr>
              <w:rPr>
                <w:rFonts w:cs="Calibri"/>
                <w:b/>
                <w:color w:val="000000"/>
              </w:rPr>
            </w:pPr>
            <w:r w:rsidRPr="003F6C01">
              <w:rPr>
                <w:rFonts w:cs="Calibri"/>
                <w:b/>
                <w:color w:val="000000"/>
              </w:rPr>
              <w:t>Articles Requested</w:t>
            </w:r>
          </w:p>
        </w:tc>
        <w:tc>
          <w:tcPr>
            <w:tcW w:w="718" w:type="dxa"/>
            <w:tcBorders>
              <w:top w:val="nil"/>
              <w:left w:val="nil"/>
              <w:bottom w:val="single" w:sz="4" w:space="0" w:color="auto"/>
              <w:right w:val="nil"/>
            </w:tcBorders>
            <w:vAlign w:val="bottom"/>
          </w:tcPr>
          <w:p w:rsidR="005A633D" w:rsidRPr="00991BB7" w:rsidRDefault="005A633D" w:rsidP="009A68E5">
            <w:pPr>
              <w:jc w:val="right"/>
              <w:rPr>
                <w:rFonts w:cs="Calibri"/>
                <w:color w:val="000000"/>
              </w:rPr>
            </w:pPr>
            <w:r w:rsidRPr="00991BB7">
              <w:rPr>
                <w:rFonts w:cs="Calibri"/>
                <w:color w:val="000000"/>
              </w:rPr>
              <w:t>170</w:t>
            </w:r>
          </w:p>
        </w:tc>
        <w:tc>
          <w:tcPr>
            <w:tcW w:w="222" w:type="dxa"/>
            <w:tcBorders>
              <w:top w:val="nil"/>
              <w:left w:val="nil"/>
              <w:bottom w:val="single" w:sz="4" w:space="0" w:color="auto"/>
              <w:right w:val="single" w:sz="4" w:space="0" w:color="auto"/>
            </w:tcBorders>
            <w:shd w:val="clear" w:color="auto" w:fill="auto"/>
            <w:noWrap/>
            <w:vAlign w:val="bottom"/>
            <w:hideMark/>
          </w:tcPr>
          <w:p w:rsidR="005A633D" w:rsidRPr="00991BB7" w:rsidRDefault="005A633D" w:rsidP="009A68E5">
            <w:pPr>
              <w:jc w:val="right"/>
              <w:rPr>
                <w:rFonts w:cs="Calibri"/>
                <w:color w:val="000000"/>
              </w:rPr>
            </w:pP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sidRPr="00991BB7">
              <w:rPr>
                <w:rFonts w:cs="Calibri"/>
                <w:color w:val="000000"/>
              </w:rPr>
              <w:t>140</w:t>
            </w: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Pr>
                <w:rFonts w:cs="Calibri"/>
                <w:color w:val="000000"/>
              </w:rPr>
              <w:t>187</w:t>
            </w:r>
          </w:p>
        </w:tc>
        <w:tc>
          <w:tcPr>
            <w:tcW w:w="875" w:type="dxa"/>
            <w:tcBorders>
              <w:top w:val="nil"/>
              <w:left w:val="nil"/>
              <w:bottom w:val="single" w:sz="4" w:space="0" w:color="auto"/>
              <w:right w:val="single" w:sz="4" w:space="0" w:color="auto"/>
            </w:tcBorders>
          </w:tcPr>
          <w:p w:rsidR="005A633D" w:rsidRDefault="005A633D" w:rsidP="009A68E5">
            <w:pPr>
              <w:jc w:val="right"/>
              <w:rPr>
                <w:rFonts w:cs="Calibri"/>
                <w:color w:val="000000"/>
              </w:rPr>
            </w:pPr>
            <w:r>
              <w:rPr>
                <w:rFonts w:cs="Calibri"/>
                <w:color w:val="000000"/>
              </w:rPr>
              <w:t>179</w:t>
            </w:r>
          </w:p>
        </w:tc>
      </w:tr>
      <w:tr w:rsidR="005D44A1" w:rsidRPr="0049620F" w:rsidTr="009A68E5">
        <w:trPr>
          <w:trHeight w:val="273"/>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A633D" w:rsidRPr="003F6C01" w:rsidRDefault="005A633D" w:rsidP="009A68E5">
            <w:pPr>
              <w:rPr>
                <w:rFonts w:cs="Calibri"/>
                <w:b/>
                <w:color w:val="000000"/>
              </w:rPr>
            </w:pPr>
            <w:r w:rsidRPr="003F6C01">
              <w:rPr>
                <w:rFonts w:cs="Calibri"/>
                <w:b/>
                <w:color w:val="000000"/>
              </w:rPr>
              <w:t>Articles Filled</w:t>
            </w:r>
          </w:p>
        </w:tc>
        <w:tc>
          <w:tcPr>
            <w:tcW w:w="718" w:type="dxa"/>
            <w:tcBorders>
              <w:top w:val="nil"/>
              <w:left w:val="nil"/>
              <w:bottom w:val="single" w:sz="4" w:space="0" w:color="auto"/>
              <w:right w:val="nil"/>
            </w:tcBorders>
            <w:vAlign w:val="bottom"/>
          </w:tcPr>
          <w:p w:rsidR="005A633D" w:rsidRPr="00991BB7" w:rsidRDefault="005A633D" w:rsidP="009A68E5">
            <w:pPr>
              <w:jc w:val="right"/>
              <w:rPr>
                <w:rFonts w:cs="Calibri"/>
                <w:color w:val="000000"/>
              </w:rPr>
            </w:pPr>
            <w:r w:rsidRPr="00991BB7">
              <w:rPr>
                <w:rFonts w:cs="Calibri"/>
                <w:color w:val="000000"/>
              </w:rPr>
              <w:t>117</w:t>
            </w:r>
          </w:p>
        </w:tc>
        <w:tc>
          <w:tcPr>
            <w:tcW w:w="222" w:type="dxa"/>
            <w:tcBorders>
              <w:top w:val="nil"/>
              <w:left w:val="nil"/>
              <w:bottom w:val="single" w:sz="4" w:space="0" w:color="auto"/>
              <w:right w:val="single" w:sz="4" w:space="0" w:color="auto"/>
            </w:tcBorders>
            <w:shd w:val="clear" w:color="auto" w:fill="auto"/>
            <w:noWrap/>
            <w:vAlign w:val="bottom"/>
            <w:hideMark/>
          </w:tcPr>
          <w:p w:rsidR="005A633D" w:rsidRPr="00991BB7" w:rsidRDefault="005A633D" w:rsidP="009A68E5">
            <w:pPr>
              <w:jc w:val="right"/>
              <w:rPr>
                <w:rFonts w:cs="Calibri"/>
                <w:color w:val="000000"/>
              </w:rPr>
            </w:pP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sidRPr="00991BB7">
              <w:rPr>
                <w:rFonts w:cs="Calibri"/>
                <w:color w:val="000000"/>
              </w:rPr>
              <w:t>96</w:t>
            </w: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Pr>
                <w:rFonts w:cs="Calibri"/>
                <w:color w:val="000000"/>
              </w:rPr>
              <w:t>137</w:t>
            </w:r>
          </w:p>
        </w:tc>
        <w:tc>
          <w:tcPr>
            <w:tcW w:w="875" w:type="dxa"/>
            <w:tcBorders>
              <w:top w:val="nil"/>
              <w:left w:val="nil"/>
              <w:bottom w:val="single" w:sz="4" w:space="0" w:color="auto"/>
              <w:right w:val="single" w:sz="4" w:space="0" w:color="auto"/>
            </w:tcBorders>
          </w:tcPr>
          <w:p w:rsidR="005A633D" w:rsidRDefault="005A633D" w:rsidP="009A68E5">
            <w:pPr>
              <w:jc w:val="right"/>
              <w:rPr>
                <w:rFonts w:cs="Calibri"/>
                <w:color w:val="000000"/>
              </w:rPr>
            </w:pPr>
            <w:r>
              <w:rPr>
                <w:rFonts w:cs="Calibri"/>
                <w:color w:val="000000"/>
              </w:rPr>
              <w:t>123</w:t>
            </w:r>
          </w:p>
        </w:tc>
      </w:tr>
      <w:tr w:rsidR="005D44A1" w:rsidRPr="0049620F" w:rsidTr="009A68E5">
        <w:trPr>
          <w:trHeight w:val="273"/>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A633D" w:rsidRPr="003F6C01" w:rsidRDefault="005A633D" w:rsidP="009A68E5">
            <w:pPr>
              <w:rPr>
                <w:rFonts w:cs="Calibri"/>
                <w:b/>
                <w:color w:val="000000"/>
              </w:rPr>
            </w:pPr>
            <w:r w:rsidRPr="003F6C01">
              <w:rPr>
                <w:rFonts w:cs="Calibri"/>
                <w:b/>
                <w:color w:val="000000"/>
              </w:rPr>
              <w:t>Article Fill Rate</w:t>
            </w:r>
          </w:p>
        </w:tc>
        <w:tc>
          <w:tcPr>
            <w:tcW w:w="718" w:type="dxa"/>
            <w:tcBorders>
              <w:top w:val="nil"/>
              <w:left w:val="nil"/>
              <w:bottom w:val="single" w:sz="4" w:space="0" w:color="auto"/>
              <w:right w:val="nil"/>
            </w:tcBorders>
            <w:vAlign w:val="bottom"/>
          </w:tcPr>
          <w:p w:rsidR="005A633D" w:rsidRPr="00991BB7" w:rsidRDefault="005A633D" w:rsidP="009A68E5">
            <w:pPr>
              <w:jc w:val="right"/>
              <w:rPr>
                <w:rFonts w:cs="Calibri"/>
                <w:color w:val="000000"/>
              </w:rPr>
            </w:pPr>
            <w:r w:rsidRPr="00991BB7">
              <w:rPr>
                <w:rFonts w:cs="Calibri"/>
                <w:color w:val="000000"/>
              </w:rPr>
              <w:t>68.82</w:t>
            </w:r>
          </w:p>
        </w:tc>
        <w:tc>
          <w:tcPr>
            <w:tcW w:w="222" w:type="dxa"/>
            <w:tcBorders>
              <w:top w:val="nil"/>
              <w:left w:val="nil"/>
              <w:bottom w:val="single" w:sz="4" w:space="0" w:color="auto"/>
              <w:right w:val="single" w:sz="4" w:space="0" w:color="auto"/>
            </w:tcBorders>
            <w:shd w:val="clear" w:color="auto" w:fill="auto"/>
            <w:noWrap/>
            <w:vAlign w:val="bottom"/>
            <w:hideMark/>
          </w:tcPr>
          <w:p w:rsidR="005A633D" w:rsidRPr="00991BB7" w:rsidRDefault="005A633D" w:rsidP="009A68E5">
            <w:pPr>
              <w:jc w:val="right"/>
              <w:rPr>
                <w:rFonts w:cs="Calibri"/>
                <w:color w:val="000000"/>
              </w:rPr>
            </w:pP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sidRPr="00991BB7">
              <w:rPr>
                <w:rFonts w:cs="Calibri"/>
                <w:color w:val="000000"/>
              </w:rPr>
              <w:t>68.57</w:t>
            </w: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Pr>
                <w:rFonts w:cs="Calibri"/>
                <w:color w:val="000000"/>
              </w:rPr>
              <w:t>72.19</w:t>
            </w:r>
          </w:p>
        </w:tc>
        <w:tc>
          <w:tcPr>
            <w:tcW w:w="875" w:type="dxa"/>
            <w:tcBorders>
              <w:top w:val="nil"/>
              <w:left w:val="nil"/>
              <w:bottom w:val="single" w:sz="4" w:space="0" w:color="auto"/>
              <w:right w:val="single" w:sz="4" w:space="0" w:color="auto"/>
            </w:tcBorders>
          </w:tcPr>
          <w:p w:rsidR="005A633D" w:rsidRDefault="005A633D" w:rsidP="009A68E5">
            <w:pPr>
              <w:jc w:val="right"/>
              <w:rPr>
                <w:rFonts w:cs="Calibri"/>
                <w:color w:val="000000"/>
              </w:rPr>
            </w:pPr>
            <w:r>
              <w:rPr>
                <w:rFonts w:cs="Calibri"/>
                <w:color w:val="000000"/>
              </w:rPr>
              <w:t>69.89%</w:t>
            </w:r>
          </w:p>
        </w:tc>
      </w:tr>
      <w:tr w:rsidR="005D44A1" w:rsidRPr="0049620F" w:rsidTr="009A68E5">
        <w:trPr>
          <w:trHeight w:val="273"/>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A633D" w:rsidRPr="003F6C01" w:rsidRDefault="005A633D" w:rsidP="009A68E5">
            <w:pPr>
              <w:rPr>
                <w:rFonts w:cs="Calibri"/>
                <w:b/>
                <w:color w:val="000000"/>
              </w:rPr>
            </w:pPr>
            <w:r w:rsidRPr="003F6C01">
              <w:rPr>
                <w:rFonts w:cs="Calibri"/>
                <w:b/>
                <w:color w:val="000000"/>
              </w:rPr>
              <w:t>Books Requested</w:t>
            </w:r>
          </w:p>
        </w:tc>
        <w:tc>
          <w:tcPr>
            <w:tcW w:w="718" w:type="dxa"/>
            <w:tcBorders>
              <w:top w:val="nil"/>
              <w:left w:val="nil"/>
              <w:bottom w:val="single" w:sz="4" w:space="0" w:color="auto"/>
              <w:right w:val="nil"/>
            </w:tcBorders>
            <w:vAlign w:val="bottom"/>
          </w:tcPr>
          <w:p w:rsidR="005A633D" w:rsidRPr="00991BB7" w:rsidRDefault="005A633D" w:rsidP="009A68E5">
            <w:pPr>
              <w:jc w:val="right"/>
              <w:rPr>
                <w:rFonts w:cs="Calibri"/>
                <w:color w:val="000000"/>
              </w:rPr>
            </w:pPr>
            <w:r w:rsidRPr="00991BB7">
              <w:rPr>
                <w:rFonts w:cs="Calibri"/>
                <w:color w:val="000000"/>
              </w:rPr>
              <w:t>1,368</w:t>
            </w:r>
          </w:p>
        </w:tc>
        <w:tc>
          <w:tcPr>
            <w:tcW w:w="222" w:type="dxa"/>
            <w:tcBorders>
              <w:top w:val="nil"/>
              <w:left w:val="nil"/>
              <w:bottom w:val="single" w:sz="4" w:space="0" w:color="auto"/>
              <w:right w:val="single" w:sz="4" w:space="0" w:color="auto"/>
            </w:tcBorders>
            <w:shd w:val="clear" w:color="auto" w:fill="auto"/>
            <w:noWrap/>
            <w:vAlign w:val="bottom"/>
            <w:hideMark/>
          </w:tcPr>
          <w:p w:rsidR="005A633D" w:rsidRPr="00991BB7" w:rsidRDefault="005A633D" w:rsidP="009A68E5">
            <w:pPr>
              <w:jc w:val="right"/>
              <w:rPr>
                <w:rFonts w:cs="Calibri"/>
                <w:color w:val="000000"/>
              </w:rPr>
            </w:pP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sidRPr="00991BB7">
              <w:rPr>
                <w:rFonts w:cs="Calibri"/>
                <w:color w:val="000000"/>
              </w:rPr>
              <w:t>1,120</w:t>
            </w: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Pr>
                <w:rFonts w:cs="Calibri"/>
                <w:color w:val="000000"/>
              </w:rPr>
              <w:t>1501</w:t>
            </w:r>
          </w:p>
        </w:tc>
        <w:tc>
          <w:tcPr>
            <w:tcW w:w="875" w:type="dxa"/>
            <w:tcBorders>
              <w:top w:val="nil"/>
              <w:left w:val="nil"/>
              <w:bottom w:val="single" w:sz="4" w:space="0" w:color="auto"/>
              <w:right w:val="single" w:sz="4" w:space="0" w:color="auto"/>
            </w:tcBorders>
          </w:tcPr>
          <w:p w:rsidR="005A633D" w:rsidRDefault="005A633D" w:rsidP="009A68E5">
            <w:pPr>
              <w:jc w:val="right"/>
              <w:rPr>
                <w:rFonts w:cs="Calibri"/>
                <w:color w:val="000000"/>
              </w:rPr>
            </w:pPr>
            <w:r>
              <w:rPr>
                <w:rFonts w:cs="Calibri"/>
                <w:color w:val="000000"/>
              </w:rPr>
              <w:t>1057</w:t>
            </w:r>
          </w:p>
        </w:tc>
      </w:tr>
      <w:tr w:rsidR="005D44A1" w:rsidRPr="0049620F" w:rsidTr="009A68E5">
        <w:trPr>
          <w:trHeight w:val="273"/>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A633D" w:rsidRPr="003F6C01" w:rsidRDefault="005A633D" w:rsidP="009A68E5">
            <w:pPr>
              <w:rPr>
                <w:rFonts w:cs="Calibri"/>
                <w:b/>
                <w:color w:val="000000"/>
              </w:rPr>
            </w:pPr>
            <w:r w:rsidRPr="003F6C01">
              <w:rPr>
                <w:rFonts w:cs="Calibri"/>
                <w:b/>
                <w:color w:val="000000"/>
              </w:rPr>
              <w:t>Books Filled</w:t>
            </w:r>
          </w:p>
        </w:tc>
        <w:tc>
          <w:tcPr>
            <w:tcW w:w="718" w:type="dxa"/>
            <w:tcBorders>
              <w:top w:val="nil"/>
              <w:left w:val="nil"/>
              <w:bottom w:val="single" w:sz="4" w:space="0" w:color="auto"/>
              <w:right w:val="nil"/>
            </w:tcBorders>
            <w:vAlign w:val="bottom"/>
          </w:tcPr>
          <w:p w:rsidR="005A633D" w:rsidRPr="00991BB7" w:rsidRDefault="005A633D" w:rsidP="009A68E5">
            <w:pPr>
              <w:jc w:val="right"/>
              <w:rPr>
                <w:rFonts w:cs="Calibri"/>
                <w:color w:val="000000"/>
              </w:rPr>
            </w:pPr>
            <w:r w:rsidRPr="00991BB7">
              <w:rPr>
                <w:rFonts w:cs="Calibri"/>
                <w:color w:val="000000"/>
              </w:rPr>
              <w:t>393</w:t>
            </w:r>
          </w:p>
        </w:tc>
        <w:tc>
          <w:tcPr>
            <w:tcW w:w="222" w:type="dxa"/>
            <w:tcBorders>
              <w:top w:val="nil"/>
              <w:left w:val="nil"/>
              <w:bottom w:val="single" w:sz="4" w:space="0" w:color="auto"/>
              <w:right w:val="single" w:sz="4" w:space="0" w:color="auto"/>
            </w:tcBorders>
            <w:shd w:val="clear" w:color="auto" w:fill="auto"/>
            <w:noWrap/>
            <w:vAlign w:val="bottom"/>
            <w:hideMark/>
          </w:tcPr>
          <w:p w:rsidR="005A633D" w:rsidRPr="00991BB7" w:rsidRDefault="005A633D" w:rsidP="009A68E5">
            <w:pPr>
              <w:jc w:val="right"/>
              <w:rPr>
                <w:rFonts w:cs="Calibri"/>
                <w:color w:val="000000"/>
              </w:rPr>
            </w:pP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sidRPr="00991BB7">
              <w:rPr>
                <w:rFonts w:cs="Calibri"/>
                <w:color w:val="000000"/>
              </w:rPr>
              <w:t>417</w:t>
            </w: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Pr>
                <w:rFonts w:cs="Calibri"/>
                <w:color w:val="000000"/>
              </w:rPr>
              <w:t>587</w:t>
            </w:r>
          </w:p>
        </w:tc>
        <w:tc>
          <w:tcPr>
            <w:tcW w:w="875" w:type="dxa"/>
            <w:tcBorders>
              <w:top w:val="nil"/>
              <w:left w:val="nil"/>
              <w:bottom w:val="single" w:sz="4" w:space="0" w:color="auto"/>
              <w:right w:val="single" w:sz="4" w:space="0" w:color="auto"/>
            </w:tcBorders>
          </w:tcPr>
          <w:p w:rsidR="005A633D" w:rsidRDefault="005A633D" w:rsidP="009A68E5">
            <w:pPr>
              <w:jc w:val="right"/>
              <w:rPr>
                <w:rFonts w:cs="Calibri"/>
                <w:color w:val="000000"/>
              </w:rPr>
            </w:pPr>
            <w:r>
              <w:rPr>
                <w:rFonts w:cs="Calibri"/>
                <w:color w:val="000000"/>
              </w:rPr>
              <w:t>490</w:t>
            </w:r>
          </w:p>
        </w:tc>
      </w:tr>
      <w:tr w:rsidR="005D44A1" w:rsidRPr="0049620F" w:rsidTr="009A68E5">
        <w:trPr>
          <w:trHeight w:val="273"/>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A633D" w:rsidRPr="003F6C01" w:rsidRDefault="005A633D" w:rsidP="009A68E5">
            <w:pPr>
              <w:rPr>
                <w:rFonts w:cs="Calibri"/>
                <w:b/>
                <w:color w:val="000000"/>
              </w:rPr>
            </w:pPr>
            <w:r w:rsidRPr="003F6C01">
              <w:rPr>
                <w:rFonts w:cs="Calibri"/>
                <w:b/>
                <w:color w:val="000000"/>
              </w:rPr>
              <w:t>Book Fill Rate</w:t>
            </w:r>
          </w:p>
        </w:tc>
        <w:tc>
          <w:tcPr>
            <w:tcW w:w="718" w:type="dxa"/>
            <w:tcBorders>
              <w:top w:val="nil"/>
              <w:left w:val="nil"/>
              <w:bottom w:val="single" w:sz="4" w:space="0" w:color="auto"/>
              <w:right w:val="nil"/>
            </w:tcBorders>
            <w:vAlign w:val="bottom"/>
          </w:tcPr>
          <w:p w:rsidR="005A633D" w:rsidRPr="00991BB7" w:rsidRDefault="005A633D" w:rsidP="009A68E5">
            <w:pPr>
              <w:jc w:val="right"/>
              <w:rPr>
                <w:rFonts w:cs="Calibri"/>
                <w:color w:val="000000"/>
              </w:rPr>
            </w:pPr>
            <w:r w:rsidRPr="00991BB7">
              <w:rPr>
                <w:rFonts w:cs="Calibri"/>
                <w:color w:val="000000"/>
              </w:rPr>
              <w:t>28.73</w:t>
            </w:r>
          </w:p>
        </w:tc>
        <w:tc>
          <w:tcPr>
            <w:tcW w:w="222" w:type="dxa"/>
            <w:tcBorders>
              <w:top w:val="nil"/>
              <w:left w:val="nil"/>
              <w:bottom w:val="single" w:sz="4" w:space="0" w:color="auto"/>
              <w:right w:val="single" w:sz="4" w:space="0" w:color="auto"/>
            </w:tcBorders>
            <w:shd w:val="clear" w:color="auto" w:fill="auto"/>
            <w:noWrap/>
            <w:vAlign w:val="bottom"/>
            <w:hideMark/>
          </w:tcPr>
          <w:p w:rsidR="005A633D" w:rsidRPr="00991BB7" w:rsidRDefault="005A633D" w:rsidP="009A68E5">
            <w:pPr>
              <w:jc w:val="right"/>
              <w:rPr>
                <w:rFonts w:cs="Calibri"/>
                <w:color w:val="000000"/>
              </w:rPr>
            </w:pP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sidRPr="00991BB7">
              <w:rPr>
                <w:rFonts w:cs="Calibri"/>
                <w:color w:val="000000"/>
              </w:rPr>
              <w:t>37.23</w:t>
            </w: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Pr>
                <w:rFonts w:cs="Calibri"/>
                <w:color w:val="000000"/>
              </w:rPr>
              <w:t>39.11</w:t>
            </w:r>
          </w:p>
        </w:tc>
        <w:tc>
          <w:tcPr>
            <w:tcW w:w="875" w:type="dxa"/>
            <w:tcBorders>
              <w:top w:val="nil"/>
              <w:left w:val="nil"/>
              <w:bottom w:val="single" w:sz="4" w:space="0" w:color="auto"/>
              <w:right w:val="single" w:sz="4" w:space="0" w:color="auto"/>
            </w:tcBorders>
          </w:tcPr>
          <w:p w:rsidR="005A633D" w:rsidRDefault="005A633D" w:rsidP="009A68E5">
            <w:pPr>
              <w:jc w:val="right"/>
              <w:rPr>
                <w:rFonts w:cs="Calibri"/>
                <w:color w:val="000000"/>
              </w:rPr>
            </w:pPr>
            <w:r>
              <w:rPr>
                <w:rFonts w:cs="Calibri"/>
                <w:color w:val="000000"/>
              </w:rPr>
              <w:t>46.36%</w:t>
            </w:r>
          </w:p>
        </w:tc>
      </w:tr>
      <w:tr w:rsidR="005D44A1" w:rsidRPr="0049620F" w:rsidTr="009A68E5">
        <w:trPr>
          <w:trHeight w:val="273"/>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A633D" w:rsidRPr="003F6C01" w:rsidRDefault="005A633D" w:rsidP="009A68E5">
            <w:pPr>
              <w:rPr>
                <w:rFonts w:cs="Calibri"/>
                <w:b/>
                <w:color w:val="000000"/>
              </w:rPr>
            </w:pPr>
            <w:r w:rsidRPr="003F6C01">
              <w:rPr>
                <w:rFonts w:cs="Calibri"/>
                <w:b/>
                <w:color w:val="000000"/>
              </w:rPr>
              <w:t xml:space="preserve">Total </w:t>
            </w:r>
            <w:proofErr w:type="spellStart"/>
            <w:r w:rsidRPr="003F6C01">
              <w:rPr>
                <w:rFonts w:cs="Calibri"/>
                <w:b/>
                <w:color w:val="000000"/>
              </w:rPr>
              <w:t>Requets</w:t>
            </w:r>
            <w:proofErr w:type="spellEnd"/>
          </w:p>
        </w:tc>
        <w:tc>
          <w:tcPr>
            <w:tcW w:w="718" w:type="dxa"/>
            <w:tcBorders>
              <w:top w:val="nil"/>
              <w:left w:val="nil"/>
              <w:bottom w:val="single" w:sz="4" w:space="0" w:color="auto"/>
              <w:right w:val="nil"/>
            </w:tcBorders>
            <w:vAlign w:val="bottom"/>
          </w:tcPr>
          <w:p w:rsidR="005A633D" w:rsidRPr="00991BB7" w:rsidRDefault="005A633D" w:rsidP="009A68E5">
            <w:pPr>
              <w:jc w:val="right"/>
              <w:rPr>
                <w:rFonts w:cs="Calibri"/>
                <w:color w:val="000000"/>
              </w:rPr>
            </w:pPr>
            <w:r w:rsidRPr="00991BB7">
              <w:rPr>
                <w:rFonts w:cs="Calibri"/>
                <w:color w:val="000000"/>
              </w:rPr>
              <w:t>1,538</w:t>
            </w:r>
          </w:p>
        </w:tc>
        <w:tc>
          <w:tcPr>
            <w:tcW w:w="222" w:type="dxa"/>
            <w:tcBorders>
              <w:top w:val="nil"/>
              <w:left w:val="nil"/>
              <w:bottom w:val="single" w:sz="4" w:space="0" w:color="auto"/>
              <w:right w:val="single" w:sz="4" w:space="0" w:color="auto"/>
            </w:tcBorders>
            <w:shd w:val="clear" w:color="auto" w:fill="auto"/>
            <w:noWrap/>
            <w:vAlign w:val="bottom"/>
            <w:hideMark/>
          </w:tcPr>
          <w:p w:rsidR="005A633D" w:rsidRPr="00991BB7" w:rsidRDefault="005A633D" w:rsidP="009A68E5">
            <w:pPr>
              <w:jc w:val="right"/>
              <w:rPr>
                <w:rFonts w:cs="Calibri"/>
                <w:color w:val="000000"/>
              </w:rPr>
            </w:pP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sidRPr="00991BB7">
              <w:rPr>
                <w:rFonts w:cs="Calibri"/>
                <w:color w:val="000000"/>
              </w:rPr>
              <w:t>1,260</w:t>
            </w: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Pr>
                <w:rFonts w:cs="Calibri"/>
                <w:color w:val="000000"/>
              </w:rPr>
              <w:t>1688</w:t>
            </w:r>
          </w:p>
        </w:tc>
        <w:tc>
          <w:tcPr>
            <w:tcW w:w="875" w:type="dxa"/>
            <w:tcBorders>
              <w:top w:val="nil"/>
              <w:left w:val="nil"/>
              <w:bottom w:val="single" w:sz="4" w:space="0" w:color="auto"/>
              <w:right w:val="single" w:sz="4" w:space="0" w:color="auto"/>
            </w:tcBorders>
          </w:tcPr>
          <w:p w:rsidR="005A633D" w:rsidRDefault="005A633D" w:rsidP="009A68E5">
            <w:pPr>
              <w:jc w:val="right"/>
              <w:rPr>
                <w:rFonts w:cs="Calibri"/>
                <w:color w:val="000000"/>
              </w:rPr>
            </w:pPr>
            <w:r>
              <w:rPr>
                <w:rFonts w:cs="Calibri"/>
                <w:color w:val="000000"/>
              </w:rPr>
              <w:t>1233</w:t>
            </w:r>
          </w:p>
        </w:tc>
      </w:tr>
      <w:tr w:rsidR="005D44A1" w:rsidRPr="0049620F" w:rsidTr="009A68E5">
        <w:trPr>
          <w:trHeight w:val="273"/>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A633D" w:rsidRPr="003F6C01" w:rsidRDefault="005A633D" w:rsidP="009A68E5">
            <w:pPr>
              <w:rPr>
                <w:rFonts w:cs="Calibri"/>
                <w:b/>
                <w:color w:val="000000"/>
              </w:rPr>
            </w:pPr>
            <w:r w:rsidRPr="003F6C01">
              <w:rPr>
                <w:rFonts w:cs="Calibri"/>
                <w:b/>
                <w:color w:val="000000"/>
              </w:rPr>
              <w:t>Total Filled</w:t>
            </w:r>
          </w:p>
        </w:tc>
        <w:tc>
          <w:tcPr>
            <w:tcW w:w="718" w:type="dxa"/>
            <w:tcBorders>
              <w:top w:val="nil"/>
              <w:left w:val="nil"/>
              <w:bottom w:val="single" w:sz="4" w:space="0" w:color="auto"/>
              <w:right w:val="nil"/>
            </w:tcBorders>
            <w:vAlign w:val="bottom"/>
          </w:tcPr>
          <w:p w:rsidR="005A633D" w:rsidRPr="00991BB7" w:rsidRDefault="005A633D" w:rsidP="009A68E5">
            <w:pPr>
              <w:jc w:val="right"/>
              <w:rPr>
                <w:rFonts w:cs="Calibri"/>
                <w:color w:val="000000"/>
              </w:rPr>
            </w:pPr>
            <w:r w:rsidRPr="00991BB7">
              <w:rPr>
                <w:rFonts w:cs="Calibri"/>
                <w:color w:val="000000"/>
              </w:rPr>
              <w:t>510</w:t>
            </w:r>
          </w:p>
        </w:tc>
        <w:tc>
          <w:tcPr>
            <w:tcW w:w="222" w:type="dxa"/>
            <w:tcBorders>
              <w:top w:val="nil"/>
              <w:left w:val="nil"/>
              <w:bottom w:val="single" w:sz="4" w:space="0" w:color="auto"/>
              <w:right w:val="single" w:sz="4" w:space="0" w:color="auto"/>
            </w:tcBorders>
            <w:shd w:val="clear" w:color="auto" w:fill="auto"/>
            <w:noWrap/>
            <w:vAlign w:val="bottom"/>
            <w:hideMark/>
          </w:tcPr>
          <w:p w:rsidR="005A633D" w:rsidRPr="00991BB7" w:rsidRDefault="005A633D" w:rsidP="009A68E5">
            <w:pPr>
              <w:jc w:val="right"/>
              <w:rPr>
                <w:rFonts w:cs="Calibri"/>
                <w:color w:val="000000"/>
              </w:rPr>
            </w:pP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sidRPr="00991BB7">
              <w:rPr>
                <w:rFonts w:cs="Calibri"/>
                <w:color w:val="000000"/>
              </w:rPr>
              <w:t>513</w:t>
            </w: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Pr>
                <w:rFonts w:cs="Calibri"/>
                <w:color w:val="000000"/>
              </w:rPr>
              <w:t>722</w:t>
            </w:r>
          </w:p>
        </w:tc>
        <w:tc>
          <w:tcPr>
            <w:tcW w:w="875" w:type="dxa"/>
            <w:tcBorders>
              <w:top w:val="nil"/>
              <w:left w:val="nil"/>
              <w:bottom w:val="single" w:sz="4" w:space="0" w:color="auto"/>
              <w:right w:val="single" w:sz="4" w:space="0" w:color="auto"/>
            </w:tcBorders>
          </w:tcPr>
          <w:p w:rsidR="005A633D" w:rsidRDefault="005A633D" w:rsidP="009A68E5">
            <w:pPr>
              <w:jc w:val="right"/>
              <w:rPr>
                <w:rFonts w:cs="Calibri"/>
                <w:color w:val="000000"/>
              </w:rPr>
            </w:pPr>
            <w:r>
              <w:rPr>
                <w:rFonts w:cs="Calibri"/>
                <w:color w:val="000000"/>
              </w:rPr>
              <w:t>613</w:t>
            </w:r>
          </w:p>
        </w:tc>
      </w:tr>
      <w:tr w:rsidR="005D44A1" w:rsidRPr="0049620F" w:rsidTr="009A68E5">
        <w:trPr>
          <w:trHeight w:val="273"/>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5A633D" w:rsidRPr="003F6C01" w:rsidRDefault="005A633D" w:rsidP="009A68E5">
            <w:pPr>
              <w:rPr>
                <w:rFonts w:cs="Calibri"/>
                <w:b/>
                <w:color w:val="000000"/>
              </w:rPr>
            </w:pPr>
            <w:r w:rsidRPr="003F6C01">
              <w:rPr>
                <w:rFonts w:cs="Calibri"/>
                <w:b/>
                <w:color w:val="000000"/>
              </w:rPr>
              <w:t>ILL Fill Rate</w:t>
            </w:r>
          </w:p>
        </w:tc>
        <w:tc>
          <w:tcPr>
            <w:tcW w:w="718" w:type="dxa"/>
            <w:tcBorders>
              <w:top w:val="nil"/>
              <w:left w:val="nil"/>
              <w:bottom w:val="single" w:sz="4" w:space="0" w:color="auto"/>
              <w:right w:val="nil"/>
            </w:tcBorders>
            <w:vAlign w:val="bottom"/>
          </w:tcPr>
          <w:p w:rsidR="005A633D" w:rsidRPr="00991BB7" w:rsidRDefault="005A633D" w:rsidP="009A68E5">
            <w:pPr>
              <w:jc w:val="right"/>
              <w:rPr>
                <w:rFonts w:cs="Calibri"/>
                <w:color w:val="000000"/>
              </w:rPr>
            </w:pPr>
            <w:r w:rsidRPr="00991BB7">
              <w:rPr>
                <w:rFonts w:cs="Calibri"/>
                <w:color w:val="000000"/>
              </w:rPr>
              <w:t>33.16</w:t>
            </w:r>
          </w:p>
        </w:tc>
        <w:tc>
          <w:tcPr>
            <w:tcW w:w="222" w:type="dxa"/>
            <w:tcBorders>
              <w:top w:val="nil"/>
              <w:left w:val="nil"/>
              <w:bottom w:val="single" w:sz="4" w:space="0" w:color="auto"/>
              <w:right w:val="single" w:sz="4" w:space="0" w:color="auto"/>
            </w:tcBorders>
            <w:shd w:val="clear" w:color="auto" w:fill="auto"/>
            <w:noWrap/>
            <w:vAlign w:val="bottom"/>
            <w:hideMark/>
          </w:tcPr>
          <w:p w:rsidR="005A633D" w:rsidRPr="00991BB7" w:rsidRDefault="005A633D" w:rsidP="009A68E5">
            <w:pPr>
              <w:jc w:val="right"/>
              <w:rPr>
                <w:rFonts w:cs="Calibri"/>
                <w:color w:val="000000"/>
              </w:rPr>
            </w:pP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sidRPr="00991BB7">
              <w:rPr>
                <w:rFonts w:cs="Calibri"/>
                <w:color w:val="000000"/>
              </w:rPr>
              <w:t>40.17</w:t>
            </w:r>
          </w:p>
        </w:tc>
        <w:tc>
          <w:tcPr>
            <w:tcW w:w="718" w:type="dxa"/>
            <w:tcBorders>
              <w:top w:val="nil"/>
              <w:left w:val="nil"/>
              <w:bottom w:val="single" w:sz="4" w:space="0" w:color="auto"/>
              <w:right w:val="single" w:sz="4" w:space="0" w:color="auto"/>
            </w:tcBorders>
            <w:vAlign w:val="bottom"/>
          </w:tcPr>
          <w:p w:rsidR="005A633D" w:rsidRPr="00991BB7" w:rsidRDefault="005A633D" w:rsidP="009A68E5">
            <w:pPr>
              <w:jc w:val="right"/>
              <w:rPr>
                <w:rFonts w:cs="Calibri"/>
                <w:color w:val="000000"/>
              </w:rPr>
            </w:pPr>
            <w:r>
              <w:rPr>
                <w:rFonts w:cs="Calibri"/>
                <w:color w:val="000000"/>
              </w:rPr>
              <w:t>42.77</w:t>
            </w:r>
          </w:p>
        </w:tc>
        <w:tc>
          <w:tcPr>
            <w:tcW w:w="875" w:type="dxa"/>
            <w:tcBorders>
              <w:top w:val="nil"/>
              <w:left w:val="nil"/>
              <w:bottom w:val="single" w:sz="4" w:space="0" w:color="auto"/>
              <w:right w:val="single" w:sz="4" w:space="0" w:color="auto"/>
            </w:tcBorders>
          </w:tcPr>
          <w:p w:rsidR="005A633D" w:rsidRDefault="005A633D" w:rsidP="009A68E5">
            <w:pPr>
              <w:jc w:val="right"/>
              <w:rPr>
                <w:rFonts w:cs="Calibri"/>
                <w:color w:val="000000"/>
              </w:rPr>
            </w:pPr>
            <w:r>
              <w:rPr>
                <w:rFonts w:cs="Calibri"/>
                <w:color w:val="000000"/>
              </w:rPr>
              <w:t>49.72%</w:t>
            </w:r>
          </w:p>
        </w:tc>
      </w:tr>
    </w:tbl>
    <w:tbl>
      <w:tblPr>
        <w:tblpPr w:leftFromText="180" w:rightFromText="180" w:vertAnchor="text" w:horzAnchor="page" w:tblpX="6163" w:tblpY="2512"/>
        <w:tblW w:w="5314" w:type="dxa"/>
        <w:tblLook w:val="04A0" w:firstRow="1" w:lastRow="0" w:firstColumn="1" w:lastColumn="0" w:noHBand="0" w:noVBand="1"/>
      </w:tblPr>
      <w:tblGrid>
        <w:gridCol w:w="2225"/>
        <w:gridCol w:w="778"/>
        <w:gridCol w:w="718"/>
        <w:gridCol w:w="718"/>
        <w:gridCol w:w="875"/>
      </w:tblGrid>
      <w:tr w:rsidR="005D44A1" w:rsidRPr="0049620F" w:rsidTr="009A68E5">
        <w:trPr>
          <w:trHeight w:val="273"/>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4A1" w:rsidRPr="00991BB7" w:rsidRDefault="005D44A1" w:rsidP="009A68E5">
            <w:pPr>
              <w:rPr>
                <w:rFonts w:cs="Calibri"/>
                <w:b/>
                <w:bCs/>
                <w:color w:val="000000"/>
              </w:rPr>
            </w:pPr>
            <w:r w:rsidRPr="00991BB7">
              <w:rPr>
                <w:rFonts w:cs="Calibri"/>
                <w:b/>
                <w:bCs/>
                <w:color w:val="000000"/>
              </w:rPr>
              <w:t>Interlibrary Loan as Borrower</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5D44A1" w:rsidRPr="00991BB7" w:rsidRDefault="005D44A1" w:rsidP="009A68E5">
            <w:pPr>
              <w:jc w:val="center"/>
              <w:rPr>
                <w:rFonts w:cs="Calibri"/>
                <w:b/>
                <w:bCs/>
                <w:color w:val="000000"/>
              </w:rPr>
            </w:pPr>
            <w:r w:rsidRPr="00991BB7">
              <w:rPr>
                <w:rFonts w:cs="Calibri"/>
                <w:b/>
                <w:bCs/>
                <w:color w:val="000000"/>
              </w:rPr>
              <w:t>FY10</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5D44A1" w:rsidRPr="00991BB7" w:rsidRDefault="005D44A1" w:rsidP="009A68E5">
            <w:pPr>
              <w:jc w:val="center"/>
              <w:rPr>
                <w:rFonts w:cs="Calibri"/>
                <w:b/>
                <w:bCs/>
                <w:color w:val="000000"/>
              </w:rPr>
            </w:pPr>
            <w:r w:rsidRPr="00991BB7">
              <w:rPr>
                <w:rFonts w:cs="Calibri"/>
                <w:b/>
                <w:bCs/>
                <w:color w:val="000000"/>
              </w:rPr>
              <w:t>FY11</w:t>
            </w:r>
          </w:p>
        </w:tc>
        <w:tc>
          <w:tcPr>
            <w:tcW w:w="718" w:type="dxa"/>
            <w:tcBorders>
              <w:top w:val="single" w:sz="4" w:space="0" w:color="auto"/>
              <w:left w:val="nil"/>
              <w:bottom w:val="single" w:sz="4" w:space="0" w:color="auto"/>
              <w:right w:val="single" w:sz="4" w:space="0" w:color="auto"/>
            </w:tcBorders>
            <w:vAlign w:val="bottom"/>
          </w:tcPr>
          <w:p w:rsidR="005D44A1" w:rsidRPr="00991BB7" w:rsidRDefault="005D44A1" w:rsidP="009A68E5">
            <w:pPr>
              <w:jc w:val="center"/>
              <w:rPr>
                <w:rFonts w:cs="Calibri"/>
                <w:b/>
                <w:bCs/>
                <w:color w:val="000000"/>
              </w:rPr>
            </w:pPr>
            <w:r>
              <w:rPr>
                <w:rFonts w:cs="Calibri"/>
                <w:b/>
                <w:bCs/>
                <w:color w:val="000000"/>
              </w:rPr>
              <w:t>FY12</w:t>
            </w:r>
          </w:p>
        </w:tc>
        <w:tc>
          <w:tcPr>
            <w:tcW w:w="875" w:type="dxa"/>
            <w:tcBorders>
              <w:top w:val="single" w:sz="4" w:space="0" w:color="auto"/>
              <w:left w:val="nil"/>
              <w:bottom w:val="single" w:sz="4" w:space="0" w:color="auto"/>
              <w:right w:val="single" w:sz="4" w:space="0" w:color="auto"/>
            </w:tcBorders>
          </w:tcPr>
          <w:p w:rsidR="003F7820" w:rsidRDefault="003F7820" w:rsidP="009A68E5">
            <w:pPr>
              <w:jc w:val="center"/>
              <w:rPr>
                <w:rFonts w:cs="Calibri"/>
                <w:b/>
                <w:bCs/>
                <w:color w:val="000000"/>
              </w:rPr>
            </w:pPr>
          </w:p>
          <w:p w:rsidR="005D44A1" w:rsidRDefault="005D44A1" w:rsidP="009A68E5">
            <w:pPr>
              <w:jc w:val="center"/>
              <w:rPr>
                <w:rFonts w:cs="Calibri"/>
                <w:b/>
                <w:bCs/>
                <w:color w:val="000000"/>
              </w:rPr>
            </w:pPr>
            <w:r>
              <w:rPr>
                <w:rFonts w:cs="Calibri"/>
                <w:b/>
                <w:bCs/>
                <w:color w:val="000000"/>
              </w:rPr>
              <w:t>FY13</w:t>
            </w:r>
          </w:p>
        </w:tc>
      </w:tr>
      <w:tr w:rsidR="005D44A1" w:rsidRPr="0049620F" w:rsidTr="009A68E5">
        <w:trPr>
          <w:trHeight w:val="26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5D44A1" w:rsidRPr="003F6C01" w:rsidRDefault="005D44A1" w:rsidP="009A68E5">
            <w:pPr>
              <w:rPr>
                <w:rFonts w:cs="Calibri"/>
                <w:b/>
                <w:color w:val="000000"/>
              </w:rPr>
            </w:pPr>
            <w:r w:rsidRPr="003F6C01">
              <w:rPr>
                <w:rFonts w:cs="Calibri"/>
                <w:b/>
                <w:color w:val="000000"/>
              </w:rPr>
              <w:t>Articles Requested</w:t>
            </w:r>
          </w:p>
        </w:tc>
        <w:tc>
          <w:tcPr>
            <w:tcW w:w="77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77</w:t>
            </w:r>
          </w:p>
        </w:tc>
        <w:tc>
          <w:tcPr>
            <w:tcW w:w="71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68</w:t>
            </w:r>
          </w:p>
        </w:tc>
        <w:tc>
          <w:tcPr>
            <w:tcW w:w="718" w:type="dxa"/>
            <w:tcBorders>
              <w:top w:val="nil"/>
              <w:left w:val="nil"/>
              <w:bottom w:val="single" w:sz="4" w:space="0" w:color="auto"/>
              <w:right w:val="single" w:sz="4" w:space="0" w:color="auto"/>
            </w:tcBorders>
            <w:vAlign w:val="bottom"/>
          </w:tcPr>
          <w:p w:rsidR="005D44A1" w:rsidRPr="00991BB7" w:rsidRDefault="005D44A1" w:rsidP="009A68E5">
            <w:pPr>
              <w:jc w:val="right"/>
              <w:rPr>
                <w:rFonts w:cs="Calibri"/>
                <w:color w:val="000000"/>
              </w:rPr>
            </w:pPr>
            <w:r>
              <w:rPr>
                <w:rFonts w:cs="Calibri"/>
                <w:color w:val="000000"/>
              </w:rPr>
              <w:t>132</w:t>
            </w:r>
          </w:p>
        </w:tc>
        <w:tc>
          <w:tcPr>
            <w:tcW w:w="875" w:type="dxa"/>
            <w:tcBorders>
              <w:top w:val="nil"/>
              <w:left w:val="nil"/>
              <w:bottom w:val="single" w:sz="4" w:space="0" w:color="auto"/>
              <w:right w:val="single" w:sz="4" w:space="0" w:color="auto"/>
            </w:tcBorders>
          </w:tcPr>
          <w:p w:rsidR="005D44A1" w:rsidRDefault="005D44A1" w:rsidP="009A68E5">
            <w:pPr>
              <w:jc w:val="right"/>
              <w:rPr>
                <w:rFonts w:cs="Calibri"/>
                <w:color w:val="000000"/>
              </w:rPr>
            </w:pPr>
            <w:r>
              <w:rPr>
                <w:rFonts w:cs="Calibri"/>
                <w:color w:val="000000"/>
              </w:rPr>
              <w:t>78</w:t>
            </w:r>
          </w:p>
        </w:tc>
      </w:tr>
      <w:tr w:rsidR="005D44A1" w:rsidRPr="0049620F" w:rsidTr="009A68E5">
        <w:trPr>
          <w:trHeight w:val="26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5D44A1" w:rsidRPr="003F6C01" w:rsidRDefault="005D44A1" w:rsidP="009A68E5">
            <w:pPr>
              <w:rPr>
                <w:rFonts w:cs="Calibri"/>
                <w:b/>
                <w:color w:val="000000"/>
              </w:rPr>
            </w:pPr>
            <w:r w:rsidRPr="003F6C01">
              <w:rPr>
                <w:rFonts w:cs="Calibri"/>
                <w:b/>
                <w:color w:val="000000"/>
              </w:rPr>
              <w:t>Articles Filled</w:t>
            </w:r>
          </w:p>
        </w:tc>
        <w:tc>
          <w:tcPr>
            <w:tcW w:w="77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59</w:t>
            </w:r>
          </w:p>
        </w:tc>
        <w:tc>
          <w:tcPr>
            <w:tcW w:w="71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59</w:t>
            </w:r>
          </w:p>
        </w:tc>
        <w:tc>
          <w:tcPr>
            <w:tcW w:w="718" w:type="dxa"/>
            <w:tcBorders>
              <w:top w:val="nil"/>
              <w:left w:val="nil"/>
              <w:bottom w:val="single" w:sz="4" w:space="0" w:color="auto"/>
              <w:right w:val="single" w:sz="4" w:space="0" w:color="auto"/>
            </w:tcBorders>
            <w:vAlign w:val="bottom"/>
          </w:tcPr>
          <w:p w:rsidR="005D44A1" w:rsidRPr="00991BB7" w:rsidRDefault="005D44A1" w:rsidP="009A68E5">
            <w:pPr>
              <w:jc w:val="right"/>
              <w:rPr>
                <w:rFonts w:cs="Calibri"/>
                <w:color w:val="000000"/>
              </w:rPr>
            </w:pPr>
            <w:r>
              <w:rPr>
                <w:rFonts w:cs="Calibri"/>
                <w:color w:val="000000"/>
              </w:rPr>
              <w:t>76</w:t>
            </w:r>
          </w:p>
        </w:tc>
        <w:tc>
          <w:tcPr>
            <w:tcW w:w="875" w:type="dxa"/>
            <w:tcBorders>
              <w:top w:val="nil"/>
              <w:left w:val="nil"/>
              <w:bottom w:val="single" w:sz="4" w:space="0" w:color="auto"/>
              <w:right w:val="single" w:sz="4" w:space="0" w:color="auto"/>
            </w:tcBorders>
          </w:tcPr>
          <w:p w:rsidR="005D44A1" w:rsidRDefault="005D44A1" w:rsidP="009A68E5">
            <w:pPr>
              <w:jc w:val="right"/>
              <w:rPr>
                <w:rFonts w:cs="Calibri"/>
                <w:color w:val="000000"/>
              </w:rPr>
            </w:pPr>
            <w:r>
              <w:rPr>
                <w:rFonts w:cs="Calibri"/>
                <w:color w:val="000000"/>
              </w:rPr>
              <w:t>58</w:t>
            </w:r>
          </w:p>
        </w:tc>
      </w:tr>
      <w:tr w:rsidR="005D44A1" w:rsidRPr="0049620F" w:rsidTr="009A68E5">
        <w:trPr>
          <w:trHeight w:val="26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5D44A1" w:rsidRPr="003F6C01" w:rsidRDefault="005D44A1" w:rsidP="009A68E5">
            <w:pPr>
              <w:rPr>
                <w:rFonts w:cs="Calibri"/>
                <w:b/>
                <w:color w:val="000000"/>
              </w:rPr>
            </w:pPr>
            <w:r w:rsidRPr="003F6C01">
              <w:rPr>
                <w:rFonts w:cs="Calibri"/>
                <w:b/>
                <w:color w:val="000000"/>
              </w:rPr>
              <w:t>Article Fill Rate</w:t>
            </w:r>
          </w:p>
        </w:tc>
        <w:tc>
          <w:tcPr>
            <w:tcW w:w="77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76.62</w:t>
            </w:r>
          </w:p>
        </w:tc>
        <w:tc>
          <w:tcPr>
            <w:tcW w:w="71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86.76</w:t>
            </w:r>
          </w:p>
        </w:tc>
        <w:tc>
          <w:tcPr>
            <w:tcW w:w="718" w:type="dxa"/>
            <w:tcBorders>
              <w:top w:val="nil"/>
              <w:left w:val="nil"/>
              <w:bottom w:val="single" w:sz="4" w:space="0" w:color="auto"/>
              <w:right w:val="single" w:sz="4" w:space="0" w:color="auto"/>
            </w:tcBorders>
            <w:vAlign w:val="bottom"/>
          </w:tcPr>
          <w:p w:rsidR="005D44A1" w:rsidRPr="00991BB7" w:rsidRDefault="005D44A1" w:rsidP="009A68E5">
            <w:pPr>
              <w:jc w:val="right"/>
              <w:rPr>
                <w:rFonts w:cs="Calibri"/>
                <w:color w:val="000000"/>
              </w:rPr>
            </w:pPr>
            <w:r>
              <w:rPr>
                <w:rFonts w:cs="Calibri"/>
                <w:color w:val="000000"/>
              </w:rPr>
              <w:t>57.58</w:t>
            </w:r>
          </w:p>
        </w:tc>
        <w:tc>
          <w:tcPr>
            <w:tcW w:w="875" w:type="dxa"/>
            <w:tcBorders>
              <w:top w:val="nil"/>
              <w:left w:val="nil"/>
              <w:bottom w:val="single" w:sz="4" w:space="0" w:color="auto"/>
              <w:right w:val="single" w:sz="4" w:space="0" w:color="auto"/>
            </w:tcBorders>
          </w:tcPr>
          <w:p w:rsidR="005D44A1" w:rsidRDefault="005D44A1" w:rsidP="009A68E5">
            <w:pPr>
              <w:jc w:val="right"/>
              <w:rPr>
                <w:rFonts w:cs="Calibri"/>
                <w:color w:val="000000"/>
              </w:rPr>
            </w:pPr>
            <w:r>
              <w:rPr>
                <w:rFonts w:cs="Calibri"/>
                <w:color w:val="000000"/>
              </w:rPr>
              <w:t>74.38%</w:t>
            </w:r>
          </w:p>
        </w:tc>
      </w:tr>
      <w:tr w:rsidR="005D44A1" w:rsidRPr="0049620F" w:rsidTr="009A68E5">
        <w:trPr>
          <w:trHeight w:val="26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5D44A1" w:rsidRPr="003F6C01" w:rsidRDefault="005D44A1" w:rsidP="009A68E5">
            <w:pPr>
              <w:rPr>
                <w:rFonts w:cs="Calibri"/>
                <w:b/>
                <w:color w:val="000000"/>
              </w:rPr>
            </w:pPr>
            <w:r w:rsidRPr="003F6C01">
              <w:rPr>
                <w:rFonts w:cs="Calibri"/>
                <w:b/>
                <w:color w:val="000000"/>
              </w:rPr>
              <w:t>Books Requested</w:t>
            </w:r>
          </w:p>
        </w:tc>
        <w:tc>
          <w:tcPr>
            <w:tcW w:w="77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56</w:t>
            </w:r>
          </w:p>
        </w:tc>
        <w:tc>
          <w:tcPr>
            <w:tcW w:w="71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45</w:t>
            </w:r>
          </w:p>
        </w:tc>
        <w:tc>
          <w:tcPr>
            <w:tcW w:w="718" w:type="dxa"/>
            <w:tcBorders>
              <w:top w:val="nil"/>
              <w:left w:val="nil"/>
              <w:bottom w:val="single" w:sz="4" w:space="0" w:color="auto"/>
              <w:right w:val="single" w:sz="4" w:space="0" w:color="auto"/>
            </w:tcBorders>
            <w:vAlign w:val="bottom"/>
          </w:tcPr>
          <w:p w:rsidR="005D44A1" w:rsidRPr="00991BB7" w:rsidRDefault="005D44A1" w:rsidP="009A68E5">
            <w:pPr>
              <w:jc w:val="right"/>
              <w:rPr>
                <w:rFonts w:cs="Calibri"/>
                <w:color w:val="000000"/>
              </w:rPr>
            </w:pPr>
            <w:r>
              <w:rPr>
                <w:rFonts w:cs="Calibri"/>
                <w:color w:val="000000"/>
              </w:rPr>
              <w:t>119</w:t>
            </w:r>
          </w:p>
        </w:tc>
        <w:tc>
          <w:tcPr>
            <w:tcW w:w="875" w:type="dxa"/>
            <w:tcBorders>
              <w:top w:val="nil"/>
              <w:left w:val="nil"/>
              <w:bottom w:val="single" w:sz="4" w:space="0" w:color="auto"/>
              <w:right w:val="single" w:sz="4" w:space="0" w:color="auto"/>
            </w:tcBorders>
          </w:tcPr>
          <w:p w:rsidR="005D44A1" w:rsidRDefault="005D44A1" w:rsidP="009A68E5">
            <w:pPr>
              <w:jc w:val="right"/>
              <w:rPr>
                <w:rFonts w:cs="Calibri"/>
                <w:color w:val="000000"/>
              </w:rPr>
            </w:pPr>
            <w:r>
              <w:rPr>
                <w:rFonts w:cs="Calibri"/>
                <w:color w:val="000000"/>
              </w:rPr>
              <w:t>100</w:t>
            </w:r>
          </w:p>
        </w:tc>
      </w:tr>
      <w:tr w:rsidR="005D44A1" w:rsidRPr="0049620F" w:rsidTr="009A68E5">
        <w:trPr>
          <w:trHeight w:val="26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5D44A1" w:rsidRPr="003F6C01" w:rsidRDefault="005D44A1" w:rsidP="009A68E5">
            <w:pPr>
              <w:rPr>
                <w:rFonts w:cs="Calibri"/>
                <w:b/>
                <w:color w:val="000000"/>
              </w:rPr>
            </w:pPr>
            <w:r w:rsidRPr="003F6C01">
              <w:rPr>
                <w:rFonts w:cs="Calibri"/>
                <w:b/>
                <w:color w:val="000000"/>
              </w:rPr>
              <w:t>Books Filled</w:t>
            </w:r>
          </w:p>
        </w:tc>
        <w:tc>
          <w:tcPr>
            <w:tcW w:w="77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37</w:t>
            </w:r>
          </w:p>
        </w:tc>
        <w:tc>
          <w:tcPr>
            <w:tcW w:w="71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31</w:t>
            </w:r>
          </w:p>
        </w:tc>
        <w:tc>
          <w:tcPr>
            <w:tcW w:w="718" w:type="dxa"/>
            <w:tcBorders>
              <w:top w:val="nil"/>
              <w:left w:val="nil"/>
              <w:bottom w:val="single" w:sz="4" w:space="0" w:color="auto"/>
              <w:right w:val="single" w:sz="4" w:space="0" w:color="auto"/>
            </w:tcBorders>
            <w:vAlign w:val="bottom"/>
          </w:tcPr>
          <w:p w:rsidR="005D44A1" w:rsidRPr="00991BB7" w:rsidRDefault="005D44A1" w:rsidP="009A68E5">
            <w:pPr>
              <w:jc w:val="right"/>
              <w:rPr>
                <w:rFonts w:cs="Calibri"/>
                <w:color w:val="000000"/>
              </w:rPr>
            </w:pPr>
            <w:r>
              <w:rPr>
                <w:rFonts w:cs="Calibri"/>
                <w:color w:val="000000"/>
              </w:rPr>
              <w:t>82</w:t>
            </w:r>
          </w:p>
        </w:tc>
        <w:tc>
          <w:tcPr>
            <w:tcW w:w="875" w:type="dxa"/>
            <w:tcBorders>
              <w:top w:val="nil"/>
              <w:left w:val="nil"/>
              <w:bottom w:val="single" w:sz="4" w:space="0" w:color="auto"/>
              <w:right w:val="single" w:sz="4" w:space="0" w:color="auto"/>
            </w:tcBorders>
          </w:tcPr>
          <w:p w:rsidR="005D44A1" w:rsidRDefault="005D44A1" w:rsidP="009A68E5">
            <w:pPr>
              <w:jc w:val="right"/>
              <w:rPr>
                <w:rFonts w:cs="Calibri"/>
                <w:color w:val="000000"/>
              </w:rPr>
            </w:pPr>
            <w:r>
              <w:rPr>
                <w:rFonts w:cs="Calibri"/>
                <w:color w:val="000000"/>
              </w:rPr>
              <w:t>67</w:t>
            </w:r>
          </w:p>
        </w:tc>
      </w:tr>
      <w:tr w:rsidR="005D44A1" w:rsidRPr="0049620F" w:rsidTr="009A68E5">
        <w:trPr>
          <w:trHeight w:val="26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5D44A1" w:rsidRPr="003F6C01" w:rsidRDefault="005D44A1" w:rsidP="009A68E5">
            <w:pPr>
              <w:rPr>
                <w:rFonts w:cs="Calibri"/>
                <w:b/>
                <w:color w:val="000000"/>
              </w:rPr>
            </w:pPr>
            <w:r w:rsidRPr="003F6C01">
              <w:rPr>
                <w:rFonts w:cs="Calibri"/>
                <w:b/>
                <w:color w:val="000000"/>
              </w:rPr>
              <w:t>Book Fill Rate</w:t>
            </w:r>
          </w:p>
        </w:tc>
        <w:tc>
          <w:tcPr>
            <w:tcW w:w="77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66.07</w:t>
            </w:r>
          </w:p>
        </w:tc>
        <w:tc>
          <w:tcPr>
            <w:tcW w:w="71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68.89</w:t>
            </w:r>
          </w:p>
        </w:tc>
        <w:tc>
          <w:tcPr>
            <w:tcW w:w="718" w:type="dxa"/>
            <w:tcBorders>
              <w:top w:val="nil"/>
              <w:left w:val="nil"/>
              <w:bottom w:val="single" w:sz="4" w:space="0" w:color="auto"/>
              <w:right w:val="single" w:sz="4" w:space="0" w:color="auto"/>
            </w:tcBorders>
            <w:vAlign w:val="bottom"/>
          </w:tcPr>
          <w:p w:rsidR="005D44A1" w:rsidRPr="00991BB7" w:rsidRDefault="005D44A1" w:rsidP="009A68E5">
            <w:pPr>
              <w:jc w:val="right"/>
              <w:rPr>
                <w:rFonts w:cs="Calibri"/>
                <w:color w:val="000000"/>
              </w:rPr>
            </w:pPr>
            <w:r>
              <w:rPr>
                <w:rFonts w:cs="Calibri"/>
                <w:color w:val="000000"/>
              </w:rPr>
              <w:t>68.91</w:t>
            </w:r>
          </w:p>
        </w:tc>
        <w:tc>
          <w:tcPr>
            <w:tcW w:w="875" w:type="dxa"/>
            <w:tcBorders>
              <w:top w:val="nil"/>
              <w:left w:val="nil"/>
              <w:bottom w:val="single" w:sz="4" w:space="0" w:color="auto"/>
              <w:right w:val="single" w:sz="4" w:space="0" w:color="auto"/>
            </w:tcBorders>
          </w:tcPr>
          <w:p w:rsidR="005D44A1" w:rsidRDefault="005D44A1" w:rsidP="009A68E5">
            <w:pPr>
              <w:jc w:val="right"/>
              <w:rPr>
                <w:rFonts w:cs="Calibri"/>
                <w:color w:val="000000"/>
              </w:rPr>
            </w:pPr>
            <w:r>
              <w:rPr>
                <w:rFonts w:cs="Calibri"/>
                <w:color w:val="000000"/>
              </w:rPr>
              <w:t>67%</w:t>
            </w:r>
          </w:p>
        </w:tc>
      </w:tr>
      <w:tr w:rsidR="005D44A1" w:rsidRPr="0049620F" w:rsidTr="009A68E5">
        <w:trPr>
          <w:trHeight w:val="26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5D44A1" w:rsidRPr="003F6C01" w:rsidRDefault="005D44A1" w:rsidP="009A68E5">
            <w:pPr>
              <w:rPr>
                <w:rFonts w:cs="Calibri"/>
                <w:b/>
                <w:color w:val="000000"/>
              </w:rPr>
            </w:pPr>
            <w:r w:rsidRPr="003F6C01">
              <w:rPr>
                <w:rFonts w:cs="Calibri"/>
                <w:b/>
                <w:color w:val="000000"/>
              </w:rPr>
              <w:t>Total Requests</w:t>
            </w:r>
          </w:p>
        </w:tc>
        <w:tc>
          <w:tcPr>
            <w:tcW w:w="77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133</w:t>
            </w:r>
          </w:p>
        </w:tc>
        <w:tc>
          <w:tcPr>
            <w:tcW w:w="71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113</w:t>
            </w:r>
          </w:p>
        </w:tc>
        <w:tc>
          <w:tcPr>
            <w:tcW w:w="718" w:type="dxa"/>
            <w:tcBorders>
              <w:top w:val="nil"/>
              <w:left w:val="nil"/>
              <w:bottom w:val="single" w:sz="4" w:space="0" w:color="auto"/>
              <w:right w:val="single" w:sz="4" w:space="0" w:color="auto"/>
            </w:tcBorders>
            <w:vAlign w:val="bottom"/>
          </w:tcPr>
          <w:p w:rsidR="005D44A1" w:rsidRPr="00991BB7" w:rsidRDefault="005D44A1" w:rsidP="009A68E5">
            <w:pPr>
              <w:jc w:val="right"/>
              <w:rPr>
                <w:rFonts w:cs="Calibri"/>
                <w:color w:val="000000"/>
              </w:rPr>
            </w:pPr>
            <w:r>
              <w:rPr>
                <w:rFonts w:cs="Calibri"/>
                <w:color w:val="000000"/>
              </w:rPr>
              <w:t>251</w:t>
            </w:r>
          </w:p>
        </w:tc>
        <w:tc>
          <w:tcPr>
            <w:tcW w:w="875" w:type="dxa"/>
            <w:tcBorders>
              <w:top w:val="nil"/>
              <w:left w:val="nil"/>
              <w:bottom w:val="single" w:sz="4" w:space="0" w:color="auto"/>
              <w:right w:val="single" w:sz="4" w:space="0" w:color="auto"/>
            </w:tcBorders>
          </w:tcPr>
          <w:p w:rsidR="005D44A1" w:rsidRDefault="005D44A1" w:rsidP="009A68E5">
            <w:pPr>
              <w:jc w:val="right"/>
              <w:rPr>
                <w:rFonts w:cs="Calibri"/>
                <w:color w:val="000000"/>
              </w:rPr>
            </w:pPr>
            <w:r>
              <w:rPr>
                <w:rFonts w:cs="Calibri"/>
                <w:color w:val="000000"/>
              </w:rPr>
              <w:t>178</w:t>
            </w:r>
          </w:p>
        </w:tc>
      </w:tr>
      <w:tr w:rsidR="005D44A1" w:rsidRPr="0049620F" w:rsidTr="009A68E5">
        <w:trPr>
          <w:trHeight w:val="26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5D44A1" w:rsidRPr="003F6C01" w:rsidRDefault="005D44A1" w:rsidP="009A68E5">
            <w:pPr>
              <w:rPr>
                <w:rFonts w:cs="Calibri"/>
                <w:b/>
                <w:color w:val="000000"/>
              </w:rPr>
            </w:pPr>
            <w:r w:rsidRPr="003F6C01">
              <w:rPr>
                <w:rFonts w:cs="Calibri"/>
                <w:b/>
                <w:color w:val="000000"/>
              </w:rPr>
              <w:t>Total Filled</w:t>
            </w:r>
          </w:p>
        </w:tc>
        <w:tc>
          <w:tcPr>
            <w:tcW w:w="77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96</w:t>
            </w:r>
          </w:p>
        </w:tc>
        <w:tc>
          <w:tcPr>
            <w:tcW w:w="71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90</w:t>
            </w:r>
          </w:p>
        </w:tc>
        <w:tc>
          <w:tcPr>
            <w:tcW w:w="718" w:type="dxa"/>
            <w:tcBorders>
              <w:top w:val="nil"/>
              <w:left w:val="nil"/>
              <w:bottom w:val="single" w:sz="4" w:space="0" w:color="auto"/>
              <w:right w:val="single" w:sz="4" w:space="0" w:color="auto"/>
            </w:tcBorders>
            <w:vAlign w:val="bottom"/>
          </w:tcPr>
          <w:p w:rsidR="005D44A1" w:rsidRPr="00991BB7" w:rsidRDefault="005D44A1" w:rsidP="009A68E5">
            <w:pPr>
              <w:jc w:val="right"/>
              <w:rPr>
                <w:rFonts w:cs="Calibri"/>
                <w:color w:val="000000"/>
              </w:rPr>
            </w:pPr>
            <w:r>
              <w:rPr>
                <w:rFonts w:cs="Calibri"/>
                <w:color w:val="000000"/>
              </w:rPr>
              <w:t>158</w:t>
            </w:r>
          </w:p>
        </w:tc>
        <w:tc>
          <w:tcPr>
            <w:tcW w:w="875" w:type="dxa"/>
            <w:tcBorders>
              <w:top w:val="nil"/>
              <w:left w:val="nil"/>
              <w:bottom w:val="single" w:sz="4" w:space="0" w:color="auto"/>
              <w:right w:val="single" w:sz="4" w:space="0" w:color="auto"/>
            </w:tcBorders>
          </w:tcPr>
          <w:p w:rsidR="005D44A1" w:rsidRDefault="005D44A1" w:rsidP="009A68E5">
            <w:pPr>
              <w:jc w:val="right"/>
              <w:rPr>
                <w:rFonts w:cs="Calibri"/>
                <w:color w:val="000000"/>
              </w:rPr>
            </w:pPr>
            <w:r>
              <w:rPr>
                <w:rFonts w:cs="Calibri"/>
                <w:color w:val="000000"/>
              </w:rPr>
              <w:t>125</w:t>
            </w:r>
          </w:p>
        </w:tc>
      </w:tr>
      <w:tr w:rsidR="005D44A1" w:rsidRPr="0049620F" w:rsidTr="009A68E5">
        <w:trPr>
          <w:trHeight w:val="26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5D44A1" w:rsidRPr="003F6C01" w:rsidRDefault="005D44A1" w:rsidP="009A68E5">
            <w:pPr>
              <w:rPr>
                <w:rFonts w:cs="Calibri"/>
                <w:b/>
                <w:color w:val="000000"/>
              </w:rPr>
            </w:pPr>
            <w:r w:rsidRPr="003F6C01">
              <w:rPr>
                <w:rFonts w:cs="Calibri"/>
                <w:b/>
                <w:color w:val="000000"/>
              </w:rPr>
              <w:t>ILL Fill Rate</w:t>
            </w:r>
          </w:p>
        </w:tc>
        <w:tc>
          <w:tcPr>
            <w:tcW w:w="77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72.18</w:t>
            </w:r>
          </w:p>
        </w:tc>
        <w:tc>
          <w:tcPr>
            <w:tcW w:w="718" w:type="dxa"/>
            <w:tcBorders>
              <w:top w:val="nil"/>
              <w:left w:val="nil"/>
              <w:bottom w:val="single" w:sz="4" w:space="0" w:color="auto"/>
              <w:right w:val="single" w:sz="4" w:space="0" w:color="auto"/>
            </w:tcBorders>
            <w:shd w:val="clear" w:color="auto" w:fill="auto"/>
            <w:noWrap/>
            <w:vAlign w:val="bottom"/>
            <w:hideMark/>
          </w:tcPr>
          <w:p w:rsidR="005D44A1" w:rsidRPr="00991BB7" w:rsidRDefault="005D44A1" w:rsidP="009A68E5">
            <w:pPr>
              <w:jc w:val="right"/>
              <w:rPr>
                <w:rFonts w:cs="Calibri"/>
                <w:color w:val="000000"/>
              </w:rPr>
            </w:pPr>
            <w:r w:rsidRPr="00991BB7">
              <w:rPr>
                <w:rFonts w:cs="Calibri"/>
                <w:color w:val="000000"/>
              </w:rPr>
              <w:t>79.65</w:t>
            </w:r>
          </w:p>
        </w:tc>
        <w:tc>
          <w:tcPr>
            <w:tcW w:w="718" w:type="dxa"/>
            <w:tcBorders>
              <w:top w:val="nil"/>
              <w:left w:val="nil"/>
              <w:bottom w:val="single" w:sz="4" w:space="0" w:color="auto"/>
              <w:right w:val="single" w:sz="4" w:space="0" w:color="auto"/>
            </w:tcBorders>
            <w:vAlign w:val="bottom"/>
          </w:tcPr>
          <w:p w:rsidR="005D44A1" w:rsidRPr="00991BB7" w:rsidRDefault="005D44A1" w:rsidP="009A68E5">
            <w:pPr>
              <w:jc w:val="right"/>
              <w:rPr>
                <w:rFonts w:cs="Calibri"/>
                <w:color w:val="000000"/>
              </w:rPr>
            </w:pPr>
            <w:r>
              <w:rPr>
                <w:rFonts w:cs="Calibri"/>
                <w:color w:val="000000"/>
              </w:rPr>
              <w:t>62.93</w:t>
            </w:r>
          </w:p>
        </w:tc>
        <w:tc>
          <w:tcPr>
            <w:tcW w:w="875" w:type="dxa"/>
            <w:tcBorders>
              <w:top w:val="nil"/>
              <w:left w:val="nil"/>
              <w:bottom w:val="single" w:sz="4" w:space="0" w:color="auto"/>
              <w:right w:val="single" w:sz="4" w:space="0" w:color="auto"/>
            </w:tcBorders>
          </w:tcPr>
          <w:p w:rsidR="005D44A1" w:rsidRDefault="005D44A1" w:rsidP="009A68E5">
            <w:pPr>
              <w:jc w:val="right"/>
              <w:rPr>
                <w:rFonts w:cs="Calibri"/>
                <w:color w:val="000000"/>
              </w:rPr>
            </w:pPr>
            <w:r>
              <w:rPr>
                <w:rFonts w:cs="Calibri"/>
                <w:color w:val="000000"/>
              </w:rPr>
              <w:t>70.22%</w:t>
            </w:r>
          </w:p>
        </w:tc>
      </w:tr>
    </w:tbl>
    <w:p w:rsidR="00556AD0" w:rsidRDefault="00556AD0" w:rsidP="00556AD0">
      <w:pPr>
        <w:tabs>
          <w:tab w:val="left" w:pos="3815"/>
        </w:tabs>
      </w:pPr>
      <w:r>
        <w:tab/>
      </w:r>
    </w:p>
    <w:p w:rsidR="00556AD0" w:rsidRDefault="00556AD0" w:rsidP="00556AD0">
      <w:pPr>
        <w:tabs>
          <w:tab w:val="left" w:pos="3815"/>
        </w:tabs>
      </w:pPr>
    </w:p>
    <w:p w:rsidR="00556AD0" w:rsidRDefault="00556AD0" w:rsidP="00556AD0">
      <w:pPr>
        <w:tabs>
          <w:tab w:val="left" w:pos="3815"/>
        </w:tabs>
      </w:pPr>
    </w:p>
    <w:p w:rsidR="00556AD0" w:rsidRDefault="00556AD0" w:rsidP="00556AD0">
      <w:pPr>
        <w:tabs>
          <w:tab w:val="left" w:pos="3815"/>
        </w:tabs>
      </w:pPr>
    </w:p>
    <w:p w:rsidR="00556AD0" w:rsidRDefault="00556AD0" w:rsidP="00556AD0">
      <w:pPr>
        <w:tabs>
          <w:tab w:val="left" w:pos="3815"/>
        </w:tabs>
      </w:pPr>
    </w:p>
    <w:p w:rsidR="00556AD0" w:rsidRDefault="00556AD0" w:rsidP="00556AD0">
      <w:pPr>
        <w:tabs>
          <w:tab w:val="left" w:pos="3815"/>
        </w:tabs>
      </w:pPr>
    </w:p>
    <w:p w:rsidR="00556AD0" w:rsidRDefault="00556AD0" w:rsidP="00556AD0">
      <w:pPr>
        <w:tabs>
          <w:tab w:val="left" w:pos="3815"/>
        </w:tabs>
      </w:pPr>
    </w:p>
    <w:p w:rsidR="00556AD0" w:rsidRDefault="00556AD0" w:rsidP="00556AD0">
      <w:pPr>
        <w:tabs>
          <w:tab w:val="left" w:pos="3815"/>
        </w:tabs>
      </w:pPr>
    </w:p>
    <w:p w:rsidR="00556AD0" w:rsidRDefault="00556AD0" w:rsidP="00556AD0">
      <w:pPr>
        <w:tabs>
          <w:tab w:val="left" w:pos="3815"/>
        </w:tabs>
      </w:pPr>
    </w:p>
    <w:p w:rsidR="00556AD0" w:rsidRDefault="00556AD0" w:rsidP="00556AD0">
      <w:pPr>
        <w:tabs>
          <w:tab w:val="left" w:pos="3815"/>
        </w:tabs>
      </w:pPr>
    </w:p>
    <w:p w:rsidR="00524F54" w:rsidRDefault="00524F54" w:rsidP="00E40C53">
      <w:pPr>
        <w:jc w:val="center"/>
      </w:pPr>
    </w:p>
    <w:tbl>
      <w:tblPr>
        <w:tblpPr w:leftFromText="180" w:rightFromText="180" w:vertAnchor="text" w:horzAnchor="margin" w:tblpXSpec="center" w:tblpY="-19"/>
        <w:tblOverlap w:val="never"/>
        <w:tblW w:w="4780" w:type="dxa"/>
        <w:tblLook w:val="04A0" w:firstRow="1" w:lastRow="0" w:firstColumn="1" w:lastColumn="0" w:noHBand="0" w:noVBand="1"/>
      </w:tblPr>
      <w:tblGrid>
        <w:gridCol w:w="1728"/>
        <w:gridCol w:w="763"/>
        <w:gridCol w:w="763"/>
        <w:gridCol w:w="763"/>
        <w:gridCol w:w="763"/>
      </w:tblGrid>
      <w:tr w:rsidR="009A68E5" w:rsidRPr="0049620F" w:rsidTr="009A68E5">
        <w:trPr>
          <w:trHeight w:val="272"/>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8E5" w:rsidRPr="00E070B5" w:rsidRDefault="009A68E5" w:rsidP="009A68E5">
            <w:pPr>
              <w:rPr>
                <w:rFonts w:cs="Calibri"/>
                <w:b/>
                <w:bCs/>
                <w:color w:val="000000"/>
              </w:rPr>
            </w:pPr>
            <w:r w:rsidRPr="00E070B5">
              <w:rPr>
                <w:rFonts w:cs="Calibri"/>
                <w:b/>
                <w:bCs/>
                <w:color w:val="000000"/>
              </w:rPr>
              <w:t>GIL Express</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9A68E5" w:rsidRPr="00E070B5" w:rsidRDefault="009A68E5" w:rsidP="009A68E5">
            <w:pPr>
              <w:jc w:val="center"/>
              <w:rPr>
                <w:rFonts w:cs="Calibri"/>
                <w:b/>
                <w:bCs/>
                <w:color w:val="000000"/>
              </w:rPr>
            </w:pPr>
            <w:r w:rsidRPr="00E070B5">
              <w:rPr>
                <w:rFonts w:cs="Calibri"/>
                <w:b/>
                <w:bCs/>
                <w:color w:val="000000"/>
              </w:rPr>
              <w:t>FY10</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9A68E5" w:rsidRPr="00E070B5" w:rsidRDefault="009A68E5" w:rsidP="009A68E5">
            <w:pPr>
              <w:jc w:val="center"/>
              <w:rPr>
                <w:rFonts w:cs="Calibri"/>
                <w:b/>
                <w:bCs/>
                <w:color w:val="000000"/>
              </w:rPr>
            </w:pPr>
            <w:r w:rsidRPr="00E070B5">
              <w:rPr>
                <w:rFonts w:cs="Calibri"/>
                <w:b/>
                <w:bCs/>
                <w:color w:val="000000"/>
              </w:rPr>
              <w:t>FY11</w:t>
            </w:r>
          </w:p>
        </w:tc>
        <w:tc>
          <w:tcPr>
            <w:tcW w:w="763" w:type="dxa"/>
            <w:tcBorders>
              <w:top w:val="single" w:sz="4" w:space="0" w:color="auto"/>
              <w:left w:val="nil"/>
              <w:bottom w:val="single" w:sz="4" w:space="0" w:color="auto"/>
              <w:right w:val="single" w:sz="4" w:space="0" w:color="auto"/>
            </w:tcBorders>
          </w:tcPr>
          <w:p w:rsidR="009A68E5" w:rsidRPr="00E070B5" w:rsidRDefault="009A68E5" w:rsidP="009A68E5">
            <w:pPr>
              <w:rPr>
                <w:rFonts w:cs="Calibri"/>
                <w:b/>
                <w:bCs/>
                <w:color w:val="000000"/>
              </w:rPr>
            </w:pPr>
            <w:r>
              <w:rPr>
                <w:rFonts w:cs="Calibri"/>
                <w:b/>
                <w:bCs/>
                <w:color w:val="000000"/>
              </w:rPr>
              <w:t>FY12</w:t>
            </w:r>
          </w:p>
        </w:tc>
        <w:tc>
          <w:tcPr>
            <w:tcW w:w="763" w:type="dxa"/>
            <w:tcBorders>
              <w:top w:val="single" w:sz="4" w:space="0" w:color="auto"/>
              <w:left w:val="nil"/>
              <w:bottom w:val="single" w:sz="4" w:space="0" w:color="auto"/>
              <w:right w:val="single" w:sz="4" w:space="0" w:color="auto"/>
            </w:tcBorders>
          </w:tcPr>
          <w:p w:rsidR="009A68E5" w:rsidRDefault="009A68E5" w:rsidP="009A68E5">
            <w:pPr>
              <w:rPr>
                <w:rFonts w:cs="Calibri"/>
                <w:b/>
                <w:bCs/>
                <w:color w:val="000000"/>
              </w:rPr>
            </w:pPr>
            <w:r>
              <w:rPr>
                <w:rFonts w:cs="Calibri"/>
                <w:b/>
                <w:bCs/>
                <w:color w:val="000000"/>
              </w:rPr>
              <w:t>FY13</w:t>
            </w:r>
          </w:p>
        </w:tc>
      </w:tr>
      <w:tr w:rsidR="009A68E5" w:rsidRPr="0049620F" w:rsidTr="009A68E5">
        <w:trPr>
          <w:trHeight w:val="26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A68E5" w:rsidRPr="00D76F62" w:rsidRDefault="009A68E5" w:rsidP="009A68E5">
            <w:pPr>
              <w:rPr>
                <w:rFonts w:cs="Calibri"/>
                <w:b/>
                <w:bCs/>
                <w:color w:val="000000"/>
              </w:rPr>
            </w:pPr>
            <w:r w:rsidRPr="00D76F62">
              <w:rPr>
                <w:rFonts w:cs="Calibri"/>
                <w:b/>
                <w:bCs/>
                <w:color w:val="000000"/>
              </w:rPr>
              <w:t>Outgoing</w:t>
            </w:r>
          </w:p>
        </w:tc>
        <w:tc>
          <w:tcPr>
            <w:tcW w:w="763" w:type="dxa"/>
            <w:tcBorders>
              <w:top w:val="nil"/>
              <w:left w:val="nil"/>
              <w:bottom w:val="single" w:sz="4" w:space="0" w:color="auto"/>
              <w:right w:val="single" w:sz="4" w:space="0" w:color="auto"/>
            </w:tcBorders>
            <w:shd w:val="clear" w:color="auto" w:fill="auto"/>
            <w:noWrap/>
            <w:vAlign w:val="bottom"/>
            <w:hideMark/>
          </w:tcPr>
          <w:p w:rsidR="009A68E5" w:rsidRPr="00E070B5" w:rsidRDefault="009A68E5" w:rsidP="009A68E5">
            <w:pPr>
              <w:jc w:val="right"/>
              <w:rPr>
                <w:rFonts w:cs="Calibri"/>
                <w:color w:val="000000"/>
              </w:rPr>
            </w:pPr>
            <w:r w:rsidRPr="00E070B5">
              <w:rPr>
                <w:rFonts w:cs="Calibri"/>
                <w:color w:val="000000"/>
              </w:rPr>
              <w:t>1,522</w:t>
            </w:r>
          </w:p>
        </w:tc>
        <w:tc>
          <w:tcPr>
            <w:tcW w:w="763" w:type="dxa"/>
            <w:tcBorders>
              <w:top w:val="nil"/>
              <w:left w:val="nil"/>
              <w:bottom w:val="single" w:sz="4" w:space="0" w:color="auto"/>
              <w:right w:val="single" w:sz="4" w:space="0" w:color="auto"/>
            </w:tcBorders>
            <w:shd w:val="clear" w:color="auto" w:fill="auto"/>
            <w:noWrap/>
            <w:vAlign w:val="bottom"/>
            <w:hideMark/>
          </w:tcPr>
          <w:p w:rsidR="009A68E5" w:rsidRPr="00E070B5" w:rsidRDefault="009A68E5" w:rsidP="009A68E5">
            <w:pPr>
              <w:jc w:val="right"/>
              <w:rPr>
                <w:rFonts w:cs="Calibri"/>
                <w:color w:val="000000"/>
              </w:rPr>
            </w:pPr>
            <w:r w:rsidRPr="00E070B5">
              <w:rPr>
                <w:rFonts w:cs="Calibri"/>
                <w:color w:val="000000"/>
              </w:rPr>
              <w:t>2,118</w:t>
            </w:r>
          </w:p>
        </w:tc>
        <w:tc>
          <w:tcPr>
            <w:tcW w:w="763" w:type="dxa"/>
            <w:tcBorders>
              <w:top w:val="nil"/>
              <w:left w:val="nil"/>
              <w:bottom w:val="single" w:sz="4" w:space="0" w:color="auto"/>
              <w:right w:val="single" w:sz="4" w:space="0" w:color="auto"/>
            </w:tcBorders>
            <w:vAlign w:val="bottom"/>
          </w:tcPr>
          <w:p w:rsidR="009A68E5" w:rsidRPr="00E070B5" w:rsidRDefault="009A68E5" w:rsidP="009A68E5">
            <w:pPr>
              <w:jc w:val="right"/>
              <w:rPr>
                <w:rFonts w:cs="Calibri"/>
                <w:color w:val="000000"/>
              </w:rPr>
            </w:pPr>
            <w:r>
              <w:rPr>
                <w:rFonts w:cs="Calibri"/>
                <w:color w:val="000000"/>
              </w:rPr>
              <w:t>1754</w:t>
            </w:r>
          </w:p>
        </w:tc>
        <w:tc>
          <w:tcPr>
            <w:tcW w:w="763" w:type="dxa"/>
            <w:tcBorders>
              <w:top w:val="nil"/>
              <w:left w:val="nil"/>
              <w:bottom w:val="single" w:sz="4" w:space="0" w:color="auto"/>
              <w:right w:val="single" w:sz="4" w:space="0" w:color="auto"/>
            </w:tcBorders>
          </w:tcPr>
          <w:p w:rsidR="009A68E5" w:rsidRDefault="009A68E5" w:rsidP="009A68E5">
            <w:pPr>
              <w:jc w:val="right"/>
              <w:rPr>
                <w:rFonts w:cs="Calibri"/>
                <w:color w:val="000000"/>
              </w:rPr>
            </w:pPr>
            <w:r>
              <w:rPr>
                <w:rFonts w:cs="Calibri"/>
                <w:color w:val="000000"/>
              </w:rPr>
              <w:t>1379</w:t>
            </w:r>
          </w:p>
        </w:tc>
      </w:tr>
      <w:tr w:rsidR="009A68E5" w:rsidRPr="0049620F" w:rsidTr="009A68E5">
        <w:trPr>
          <w:trHeight w:val="26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A68E5" w:rsidRPr="00D76F62" w:rsidRDefault="009A68E5" w:rsidP="009A68E5">
            <w:pPr>
              <w:rPr>
                <w:rFonts w:cs="Calibri"/>
                <w:b/>
                <w:bCs/>
                <w:color w:val="000000"/>
              </w:rPr>
            </w:pPr>
            <w:r w:rsidRPr="00D76F62">
              <w:rPr>
                <w:rFonts w:cs="Calibri"/>
                <w:b/>
                <w:bCs/>
                <w:color w:val="000000"/>
              </w:rPr>
              <w:t>Incoming</w:t>
            </w:r>
          </w:p>
        </w:tc>
        <w:tc>
          <w:tcPr>
            <w:tcW w:w="763" w:type="dxa"/>
            <w:tcBorders>
              <w:top w:val="nil"/>
              <w:left w:val="nil"/>
              <w:bottom w:val="single" w:sz="4" w:space="0" w:color="auto"/>
              <w:right w:val="single" w:sz="4" w:space="0" w:color="auto"/>
            </w:tcBorders>
            <w:shd w:val="clear" w:color="auto" w:fill="auto"/>
            <w:noWrap/>
            <w:vAlign w:val="bottom"/>
            <w:hideMark/>
          </w:tcPr>
          <w:p w:rsidR="009A68E5" w:rsidRPr="00E070B5" w:rsidRDefault="009A68E5" w:rsidP="009A68E5">
            <w:pPr>
              <w:jc w:val="right"/>
              <w:rPr>
                <w:rFonts w:cs="Calibri"/>
                <w:color w:val="000000"/>
              </w:rPr>
            </w:pPr>
            <w:r w:rsidRPr="00E070B5">
              <w:rPr>
                <w:rFonts w:cs="Calibri"/>
                <w:color w:val="000000"/>
              </w:rPr>
              <w:t>1,190</w:t>
            </w:r>
          </w:p>
        </w:tc>
        <w:tc>
          <w:tcPr>
            <w:tcW w:w="763" w:type="dxa"/>
            <w:tcBorders>
              <w:top w:val="nil"/>
              <w:left w:val="nil"/>
              <w:bottom w:val="single" w:sz="4" w:space="0" w:color="auto"/>
              <w:right w:val="single" w:sz="4" w:space="0" w:color="auto"/>
            </w:tcBorders>
            <w:shd w:val="clear" w:color="auto" w:fill="auto"/>
            <w:noWrap/>
            <w:vAlign w:val="bottom"/>
            <w:hideMark/>
          </w:tcPr>
          <w:p w:rsidR="009A68E5" w:rsidRPr="00E070B5" w:rsidRDefault="009A68E5" w:rsidP="009A68E5">
            <w:pPr>
              <w:jc w:val="right"/>
              <w:rPr>
                <w:rFonts w:cs="Calibri"/>
                <w:color w:val="000000"/>
              </w:rPr>
            </w:pPr>
            <w:r w:rsidRPr="00E070B5">
              <w:rPr>
                <w:rFonts w:cs="Calibri"/>
                <w:color w:val="000000"/>
              </w:rPr>
              <w:t>1,446</w:t>
            </w:r>
          </w:p>
        </w:tc>
        <w:tc>
          <w:tcPr>
            <w:tcW w:w="763" w:type="dxa"/>
            <w:tcBorders>
              <w:top w:val="nil"/>
              <w:left w:val="nil"/>
              <w:bottom w:val="single" w:sz="4" w:space="0" w:color="auto"/>
              <w:right w:val="single" w:sz="4" w:space="0" w:color="auto"/>
            </w:tcBorders>
            <w:vAlign w:val="bottom"/>
          </w:tcPr>
          <w:p w:rsidR="009A68E5" w:rsidRPr="00E070B5" w:rsidRDefault="009A68E5" w:rsidP="009A68E5">
            <w:pPr>
              <w:jc w:val="right"/>
              <w:rPr>
                <w:rFonts w:cs="Calibri"/>
                <w:color w:val="000000"/>
              </w:rPr>
            </w:pPr>
            <w:r>
              <w:rPr>
                <w:rFonts w:cs="Calibri"/>
                <w:color w:val="000000"/>
              </w:rPr>
              <w:t>2138</w:t>
            </w:r>
          </w:p>
        </w:tc>
        <w:tc>
          <w:tcPr>
            <w:tcW w:w="763" w:type="dxa"/>
            <w:tcBorders>
              <w:top w:val="nil"/>
              <w:left w:val="nil"/>
              <w:bottom w:val="single" w:sz="4" w:space="0" w:color="auto"/>
              <w:right w:val="single" w:sz="4" w:space="0" w:color="auto"/>
            </w:tcBorders>
          </w:tcPr>
          <w:p w:rsidR="009A68E5" w:rsidRDefault="009A68E5" w:rsidP="009A68E5">
            <w:pPr>
              <w:jc w:val="right"/>
              <w:rPr>
                <w:rFonts w:cs="Calibri"/>
                <w:color w:val="000000"/>
              </w:rPr>
            </w:pPr>
            <w:r>
              <w:rPr>
                <w:rFonts w:cs="Calibri"/>
                <w:color w:val="000000"/>
              </w:rPr>
              <w:t>1455</w:t>
            </w:r>
          </w:p>
        </w:tc>
      </w:tr>
    </w:tbl>
    <w:p w:rsidR="005D44A1" w:rsidRDefault="005D44A1" w:rsidP="00E40C53">
      <w:pPr>
        <w:jc w:val="center"/>
      </w:pPr>
    </w:p>
    <w:p w:rsidR="005D44A1" w:rsidRDefault="005D44A1" w:rsidP="00E40C53">
      <w:pPr>
        <w:jc w:val="center"/>
      </w:pPr>
    </w:p>
    <w:p w:rsidR="005D44A1" w:rsidRDefault="005D44A1" w:rsidP="00E40C53">
      <w:pPr>
        <w:jc w:val="center"/>
      </w:pPr>
    </w:p>
    <w:p w:rsidR="00556AD0" w:rsidRDefault="00556AD0" w:rsidP="00E40C53">
      <w:pPr>
        <w:jc w:val="center"/>
      </w:pPr>
    </w:p>
    <w:p w:rsidR="00524F54" w:rsidRDefault="00524F54" w:rsidP="00E40C53">
      <w:pPr>
        <w:jc w:val="center"/>
      </w:pPr>
    </w:p>
    <w:p w:rsidR="00524F54" w:rsidRDefault="00524F54" w:rsidP="00E40C53">
      <w:pPr>
        <w:jc w:val="center"/>
      </w:pPr>
    </w:p>
    <w:tbl>
      <w:tblPr>
        <w:tblW w:w="8841" w:type="dxa"/>
        <w:tblInd w:w="93"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2581"/>
        <w:gridCol w:w="1565"/>
        <w:gridCol w:w="1565"/>
        <w:gridCol w:w="1565"/>
        <w:gridCol w:w="1565"/>
      </w:tblGrid>
      <w:tr w:rsidR="009A68E5" w:rsidRPr="001A5AB8" w:rsidTr="003F7820">
        <w:trPr>
          <w:trHeight w:val="616"/>
        </w:trPr>
        <w:tc>
          <w:tcPr>
            <w:tcW w:w="2581" w:type="dxa"/>
            <w:shd w:val="clear" w:color="auto" w:fill="auto"/>
            <w:vAlign w:val="bottom"/>
          </w:tcPr>
          <w:p w:rsidR="009A68E5" w:rsidRPr="001A5AB8" w:rsidRDefault="009A68E5" w:rsidP="009A68E5">
            <w:pPr>
              <w:rPr>
                <w:rFonts w:cs="Calibri"/>
                <w:b/>
                <w:bCs/>
                <w:color w:val="000000"/>
              </w:rPr>
            </w:pPr>
            <w:r w:rsidRPr="001A5AB8">
              <w:rPr>
                <w:rFonts w:cs="Calibri"/>
                <w:b/>
                <w:bCs/>
                <w:color w:val="000000"/>
              </w:rPr>
              <w:t>Collection</w:t>
            </w:r>
          </w:p>
        </w:tc>
        <w:tc>
          <w:tcPr>
            <w:tcW w:w="1565" w:type="dxa"/>
            <w:shd w:val="clear" w:color="auto" w:fill="auto"/>
            <w:vAlign w:val="bottom"/>
          </w:tcPr>
          <w:p w:rsidR="009A68E5" w:rsidRPr="001A5AB8" w:rsidRDefault="009A68E5" w:rsidP="009A68E5">
            <w:pPr>
              <w:jc w:val="right"/>
              <w:rPr>
                <w:rFonts w:cs="Calibri"/>
                <w:b/>
                <w:bCs/>
                <w:color w:val="000000"/>
              </w:rPr>
            </w:pPr>
            <w:r w:rsidRPr="001A5AB8">
              <w:rPr>
                <w:rFonts w:cs="Calibri"/>
                <w:b/>
                <w:bCs/>
                <w:color w:val="000000"/>
              </w:rPr>
              <w:t>Held at end of FY 2010</w:t>
            </w:r>
          </w:p>
        </w:tc>
        <w:tc>
          <w:tcPr>
            <w:tcW w:w="1565" w:type="dxa"/>
            <w:shd w:val="clear" w:color="auto" w:fill="auto"/>
            <w:vAlign w:val="bottom"/>
          </w:tcPr>
          <w:p w:rsidR="009A68E5" w:rsidRPr="001A5AB8" w:rsidRDefault="009A68E5" w:rsidP="009A68E5">
            <w:pPr>
              <w:jc w:val="right"/>
              <w:rPr>
                <w:rFonts w:cs="Calibri"/>
                <w:b/>
                <w:bCs/>
                <w:color w:val="000000"/>
              </w:rPr>
            </w:pPr>
            <w:r w:rsidRPr="001A5AB8">
              <w:rPr>
                <w:rFonts w:cs="Calibri"/>
                <w:b/>
                <w:bCs/>
                <w:color w:val="000000"/>
              </w:rPr>
              <w:t>Held at end of FY 2011</w:t>
            </w:r>
          </w:p>
        </w:tc>
        <w:tc>
          <w:tcPr>
            <w:tcW w:w="1565" w:type="dxa"/>
            <w:shd w:val="clear" w:color="auto" w:fill="auto"/>
            <w:vAlign w:val="bottom"/>
          </w:tcPr>
          <w:p w:rsidR="009A68E5" w:rsidRPr="001A5AB8" w:rsidRDefault="009A68E5" w:rsidP="009A68E5">
            <w:pPr>
              <w:jc w:val="right"/>
              <w:rPr>
                <w:rFonts w:cs="Calibri"/>
                <w:b/>
                <w:bCs/>
                <w:color w:val="000000"/>
              </w:rPr>
            </w:pPr>
            <w:r w:rsidRPr="001A5AB8">
              <w:rPr>
                <w:rFonts w:cs="Calibri"/>
                <w:b/>
                <w:bCs/>
                <w:color w:val="000000"/>
              </w:rPr>
              <w:t>Held at end of FY 2012</w:t>
            </w:r>
          </w:p>
        </w:tc>
        <w:tc>
          <w:tcPr>
            <w:tcW w:w="1565" w:type="dxa"/>
            <w:vAlign w:val="bottom"/>
          </w:tcPr>
          <w:p w:rsidR="009A68E5" w:rsidRPr="001A5AB8" w:rsidRDefault="009A68E5" w:rsidP="003F7820">
            <w:pPr>
              <w:jc w:val="right"/>
              <w:rPr>
                <w:rFonts w:cs="Calibri"/>
                <w:b/>
                <w:bCs/>
                <w:color w:val="000000"/>
              </w:rPr>
            </w:pPr>
            <w:r>
              <w:rPr>
                <w:rFonts w:cs="Calibri"/>
                <w:b/>
                <w:bCs/>
                <w:color w:val="000000"/>
              </w:rPr>
              <w:t>Held at end of FY 2013</w:t>
            </w:r>
          </w:p>
        </w:tc>
      </w:tr>
      <w:tr w:rsidR="009A68E5" w:rsidRPr="001A5AB8" w:rsidTr="009A68E5">
        <w:trPr>
          <w:trHeight w:val="308"/>
        </w:trPr>
        <w:tc>
          <w:tcPr>
            <w:tcW w:w="2581" w:type="dxa"/>
            <w:shd w:val="clear" w:color="auto" w:fill="auto"/>
            <w:noWrap/>
            <w:vAlign w:val="bottom"/>
          </w:tcPr>
          <w:p w:rsidR="009A68E5" w:rsidRPr="001A5AB8" w:rsidRDefault="009A68E5" w:rsidP="009A68E5">
            <w:pPr>
              <w:rPr>
                <w:rFonts w:cs="Calibri"/>
                <w:color w:val="000000"/>
              </w:rPr>
            </w:pPr>
            <w:r w:rsidRPr="001A5AB8">
              <w:rPr>
                <w:rFonts w:cs="Calibri"/>
                <w:color w:val="000000"/>
              </w:rPr>
              <w:t>Total Volumes</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53544</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100079</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134772</w:t>
            </w:r>
          </w:p>
        </w:tc>
        <w:tc>
          <w:tcPr>
            <w:tcW w:w="1565" w:type="dxa"/>
          </w:tcPr>
          <w:p w:rsidR="009A68E5" w:rsidRPr="001A5AB8" w:rsidRDefault="009A68E5" w:rsidP="009A68E5">
            <w:pPr>
              <w:jc w:val="right"/>
              <w:rPr>
                <w:rFonts w:cs="Calibri"/>
                <w:color w:val="000000"/>
              </w:rPr>
            </w:pPr>
            <w:r>
              <w:rPr>
                <w:rFonts w:cs="Calibri"/>
                <w:color w:val="000000"/>
              </w:rPr>
              <w:t>136946</w:t>
            </w:r>
          </w:p>
        </w:tc>
      </w:tr>
      <w:tr w:rsidR="009A68E5" w:rsidRPr="001A5AB8" w:rsidTr="009A68E5">
        <w:trPr>
          <w:trHeight w:val="308"/>
        </w:trPr>
        <w:tc>
          <w:tcPr>
            <w:tcW w:w="2581" w:type="dxa"/>
            <w:shd w:val="clear" w:color="auto" w:fill="auto"/>
            <w:noWrap/>
            <w:vAlign w:val="bottom"/>
          </w:tcPr>
          <w:p w:rsidR="009A68E5" w:rsidRPr="001A5AB8" w:rsidRDefault="009A68E5" w:rsidP="009A68E5">
            <w:pPr>
              <w:rPr>
                <w:rFonts w:cs="Calibri"/>
                <w:color w:val="000000"/>
              </w:rPr>
            </w:pPr>
            <w:r w:rsidRPr="001A5AB8">
              <w:rPr>
                <w:rFonts w:cs="Calibri"/>
                <w:color w:val="000000"/>
              </w:rPr>
              <w:t>Print Volumes</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53544</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57711</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61544</w:t>
            </w:r>
          </w:p>
        </w:tc>
        <w:tc>
          <w:tcPr>
            <w:tcW w:w="1565" w:type="dxa"/>
          </w:tcPr>
          <w:p w:rsidR="009A68E5" w:rsidRPr="001A5AB8" w:rsidRDefault="009A68E5" w:rsidP="009A68E5">
            <w:pPr>
              <w:jc w:val="right"/>
              <w:rPr>
                <w:rFonts w:cs="Calibri"/>
                <w:color w:val="000000"/>
              </w:rPr>
            </w:pPr>
            <w:r>
              <w:rPr>
                <w:rFonts w:cs="Calibri"/>
                <w:color w:val="000000"/>
              </w:rPr>
              <w:t>68134</w:t>
            </w:r>
          </w:p>
        </w:tc>
      </w:tr>
      <w:tr w:rsidR="009A68E5" w:rsidRPr="001A5AB8" w:rsidTr="009A68E5">
        <w:trPr>
          <w:trHeight w:val="308"/>
        </w:trPr>
        <w:tc>
          <w:tcPr>
            <w:tcW w:w="2581" w:type="dxa"/>
            <w:shd w:val="clear" w:color="auto" w:fill="auto"/>
            <w:noWrap/>
            <w:vAlign w:val="bottom"/>
          </w:tcPr>
          <w:p w:rsidR="009A68E5" w:rsidRPr="001A5AB8" w:rsidRDefault="009A68E5" w:rsidP="009A68E5">
            <w:pPr>
              <w:rPr>
                <w:rFonts w:cs="Calibri"/>
                <w:color w:val="000000"/>
              </w:rPr>
            </w:pPr>
            <w:r w:rsidRPr="001A5AB8">
              <w:rPr>
                <w:rFonts w:cs="Calibri"/>
                <w:color w:val="000000"/>
              </w:rPr>
              <w:t>Electronic Book Vols.</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NA</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42368</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73228</w:t>
            </w:r>
          </w:p>
        </w:tc>
        <w:tc>
          <w:tcPr>
            <w:tcW w:w="1565" w:type="dxa"/>
          </w:tcPr>
          <w:p w:rsidR="009A68E5" w:rsidRPr="001A5AB8" w:rsidRDefault="009A68E5" w:rsidP="009A68E5">
            <w:pPr>
              <w:jc w:val="right"/>
              <w:rPr>
                <w:rFonts w:cs="Calibri"/>
                <w:color w:val="000000"/>
              </w:rPr>
            </w:pPr>
            <w:r>
              <w:rPr>
                <w:rFonts w:cs="Calibri"/>
                <w:color w:val="000000"/>
              </w:rPr>
              <w:t>68812</w:t>
            </w:r>
          </w:p>
        </w:tc>
      </w:tr>
      <w:tr w:rsidR="009A68E5" w:rsidRPr="001A5AB8" w:rsidTr="009A68E5">
        <w:trPr>
          <w:trHeight w:val="308"/>
        </w:trPr>
        <w:tc>
          <w:tcPr>
            <w:tcW w:w="2581" w:type="dxa"/>
            <w:shd w:val="clear" w:color="auto" w:fill="auto"/>
            <w:noWrap/>
            <w:vAlign w:val="bottom"/>
          </w:tcPr>
          <w:p w:rsidR="009A68E5" w:rsidRPr="001A5AB8" w:rsidRDefault="009A68E5" w:rsidP="009A68E5">
            <w:pPr>
              <w:rPr>
                <w:rFonts w:cs="Calibri"/>
                <w:color w:val="000000"/>
              </w:rPr>
            </w:pPr>
            <w:r w:rsidRPr="001A5AB8">
              <w:rPr>
                <w:rFonts w:cs="Calibri"/>
                <w:color w:val="000000"/>
              </w:rPr>
              <w:t>Total Serial Subscriptions</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268</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263</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270</w:t>
            </w:r>
          </w:p>
        </w:tc>
        <w:tc>
          <w:tcPr>
            <w:tcW w:w="1565" w:type="dxa"/>
          </w:tcPr>
          <w:p w:rsidR="009A68E5" w:rsidRPr="001A5AB8" w:rsidRDefault="009A68E5" w:rsidP="009A68E5">
            <w:pPr>
              <w:jc w:val="right"/>
              <w:rPr>
                <w:rFonts w:cs="Calibri"/>
                <w:color w:val="000000"/>
              </w:rPr>
            </w:pPr>
            <w:r>
              <w:rPr>
                <w:rFonts w:cs="Calibri"/>
                <w:color w:val="000000"/>
              </w:rPr>
              <w:t>259</w:t>
            </w:r>
          </w:p>
        </w:tc>
      </w:tr>
      <w:tr w:rsidR="009A68E5" w:rsidRPr="001A5AB8" w:rsidTr="009A68E5">
        <w:trPr>
          <w:trHeight w:val="308"/>
        </w:trPr>
        <w:tc>
          <w:tcPr>
            <w:tcW w:w="2581" w:type="dxa"/>
            <w:shd w:val="clear" w:color="auto" w:fill="auto"/>
            <w:noWrap/>
            <w:vAlign w:val="bottom"/>
          </w:tcPr>
          <w:p w:rsidR="009A68E5" w:rsidRPr="001A5AB8" w:rsidRDefault="009A68E5" w:rsidP="009A68E5">
            <w:pPr>
              <w:rPr>
                <w:rFonts w:cs="Calibri"/>
                <w:color w:val="000000"/>
              </w:rPr>
            </w:pPr>
            <w:r w:rsidRPr="001A5AB8">
              <w:rPr>
                <w:rFonts w:cs="Calibri"/>
                <w:color w:val="000000"/>
              </w:rPr>
              <w:t>Print Serial Subs</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199</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181</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165</w:t>
            </w:r>
          </w:p>
        </w:tc>
        <w:tc>
          <w:tcPr>
            <w:tcW w:w="1565" w:type="dxa"/>
          </w:tcPr>
          <w:p w:rsidR="009A68E5" w:rsidRPr="001A5AB8" w:rsidRDefault="009A68E5" w:rsidP="009A68E5">
            <w:pPr>
              <w:jc w:val="right"/>
              <w:rPr>
                <w:rFonts w:cs="Calibri"/>
                <w:color w:val="000000"/>
              </w:rPr>
            </w:pPr>
            <w:r>
              <w:rPr>
                <w:rFonts w:cs="Calibri"/>
                <w:color w:val="000000"/>
              </w:rPr>
              <w:t>134</w:t>
            </w:r>
          </w:p>
        </w:tc>
      </w:tr>
      <w:tr w:rsidR="009A68E5" w:rsidRPr="001A5AB8" w:rsidTr="009A68E5">
        <w:trPr>
          <w:trHeight w:val="308"/>
        </w:trPr>
        <w:tc>
          <w:tcPr>
            <w:tcW w:w="2581" w:type="dxa"/>
            <w:shd w:val="clear" w:color="auto" w:fill="auto"/>
            <w:noWrap/>
            <w:vAlign w:val="bottom"/>
          </w:tcPr>
          <w:p w:rsidR="009A68E5" w:rsidRPr="001A5AB8" w:rsidRDefault="009A68E5" w:rsidP="009A68E5">
            <w:pPr>
              <w:rPr>
                <w:rFonts w:cs="Calibri"/>
                <w:color w:val="000000"/>
              </w:rPr>
            </w:pPr>
            <w:r w:rsidRPr="001A5AB8">
              <w:rPr>
                <w:rFonts w:cs="Calibri"/>
                <w:color w:val="000000"/>
              </w:rPr>
              <w:t>Electronic Serial subs</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69</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82</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105</w:t>
            </w:r>
          </w:p>
        </w:tc>
        <w:tc>
          <w:tcPr>
            <w:tcW w:w="1565" w:type="dxa"/>
          </w:tcPr>
          <w:p w:rsidR="009A68E5" w:rsidRPr="001A5AB8" w:rsidRDefault="009A68E5" w:rsidP="009A68E5">
            <w:pPr>
              <w:jc w:val="right"/>
              <w:rPr>
                <w:rFonts w:cs="Calibri"/>
                <w:color w:val="000000"/>
              </w:rPr>
            </w:pPr>
            <w:r>
              <w:rPr>
                <w:rFonts w:cs="Calibri"/>
                <w:color w:val="000000"/>
              </w:rPr>
              <w:t>125</w:t>
            </w:r>
          </w:p>
        </w:tc>
      </w:tr>
      <w:tr w:rsidR="009A68E5" w:rsidRPr="001A5AB8" w:rsidTr="009A68E5">
        <w:trPr>
          <w:trHeight w:val="308"/>
        </w:trPr>
        <w:tc>
          <w:tcPr>
            <w:tcW w:w="2581" w:type="dxa"/>
            <w:shd w:val="clear" w:color="auto" w:fill="auto"/>
            <w:noWrap/>
            <w:vAlign w:val="bottom"/>
          </w:tcPr>
          <w:p w:rsidR="009A68E5" w:rsidRPr="001A5AB8" w:rsidRDefault="009A68E5" w:rsidP="009A68E5">
            <w:pPr>
              <w:rPr>
                <w:rFonts w:cs="Calibri"/>
                <w:color w:val="000000"/>
              </w:rPr>
            </w:pPr>
            <w:r w:rsidRPr="001A5AB8">
              <w:rPr>
                <w:rFonts w:cs="Calibri"/>
                <w:color w:val="000000"/>
              </w:rPr>
              <w:t>Electronic database subs</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57</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80</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110</w:t>
            </w:r>
          </w:p>
        </w:tc>
        <w:tc>
          <w:tcPr>
            <w:tcW w:w="1565" w:type="dxa"/>
          </w:tcPr>
          <w:p w:rsidR="009A68E5" w:rsidRPr="001A5AB8" w:rsidRDefault="009A68E5" w:rsidP="009A68E5">
            <w:pPr>
              <w:jc w:val="right"/>
              <w:rPr>
                <w:rFonts w:cs="Calibri"/>
                <w:color w:val="000000"/>
              </w:rPr>
            </w:pPr>
            <w:r>
              <w:rPr>
                <w:rFonts w:cs="Calibri"/>
                <w:color w:val="000000"/>
              </w:rPr>
              <w:t>90</w:t>
            </w:r>
          </w:p>
        </w:tc>
      </w:tr>
      <w:tr w:rsidR="009A68E5" w:rsidRPr="001A5AB8" w:rsidTr="009A68E5">
        <w:trPr>
          <w:trHeight w:val="308"/>
        </w:trPr>
        <w:tc>
          <w:tcPr>
            <w:tcW w:w="2581" w:type="dxa"/>
            <w:shd w:val="clear" w:color="auto" w:fill="auto"/>
            <w:noWrap/>
            <w:vAlign w:val="bottom"/>
          </w:tcPr>
          <w:p w:rsidR="009A68E5" w:rsidRPr="001A5AB8" w:rsidRDefault="009A68E5" w:rsidP="009A68E5">
            <w:pPr>
              <w:rPr>
                <w:rFonts w:cs="Calibri"/>
                <w:color w:val="000000"/>
              </w:rPr>
            </w:pPr>
            <w:r w:rsidRPr="001A5AB8">
              <w:rPr>
                <w:rFonts w:cs="Calibri"/>
                <w:color w:val="000000"/>
              </w:rPr>
              <w:t>DVD/Video titles</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1432</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2277</w:t>
            </w:r>
          </w:p>
        </w:tc>
        <w:tc>
          <w:tcPr>
            <w:tcW w:w="1565" w:type="dxa"/>
            <w:shd w:val="clear" w:color="auto" w:fill="auto"/>
            <w:noWrap/>
            <w:vAlign w:val="bottom"/>
          </w:tcPr>
          <w:p w:rsidR="009A68E5" w:rsidRPr="001A5AB8" w:rsidRDefault="009A68E5" w:rsidP="009A68E5">
            <w:pPr>
              <w:jc w:val="right"/>
              <w:rPr>
                <w:rFonts w:cs="Calibri"/>
                <w:color w:val="000000"/>
              </w:rPr>
            </w:pPr>
            <w:r w:rsidRPr="001A5AB8">
              <w:rPr>
                <w:rFonts w:cs="Calibri"/>
                <w:color w:val="000000"/>
              </w:rPr>
              <w:t>2595</w:t>
            </w:r>
          </w:p>
        </w:tc>
        <w:tc>
          <w:tcPr>
            <w:tcW w:w="1565" w:type="dxa"/>
          </w:tcPr>
          <w:p w:rsidR="009A68E5" w:rsidRPr="001A5AB8" w:rsidRDefault="009A68E5" w:rsidP="009A68E5">
            <w:pPr>
              <w:jc w:val="right"/>
              <w:rPr>
                <w:rFonts w:cs="Calibri"/>
                <w:color w:val="000000"/>
              </w:rPr>
            </w:pPr>
            <w:r>
              <w:rPr>
                <w:rFonts w:cs="Calibri"/>
                <w:color w:val="000000"/>
              </w:rPr>
              <w:t>2701</w:t>
            </w:r>
          </w:p>
        </w:tc>
      </w:tr>
    </w:tbl>
    <w:p w:rsidR="00524F54" w:rsidRDefault="00524F54" w:rsidP="00E40C53">
      <w:pPr>
        <w:jc w:val="center"/>
      </w:pPr>
    </w:p>
    <w:p w:rsidR="00524F54" w:rsidRDefault="00524F54" w:rsidP="00E40C53">
      <w:pPr>
        <w:jc w:val="cente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59"/>
        <w:gridCol w:w="1184"/>
        <w:gridCol w:w="1142"/>
        <w:gridCol w:w="1184"/>
        <w:gridCol w:w="1141"/>
        <w:gridCol w:w="1184"/>
      </w:tblGrid>
      <w:tr w:rsidR="00247C3B" w:rsidRPr="005E5126" w:rsidTr="00247C3B">
        <w:tc>
          <w:tcPr>
            <w:tcW w:w="8176" w:type="dxa"/>
            <w:gridSpan w:val="7"/>
            <w:shd w:val="pct50" w:color="auto" w:fill="auto"/>
            <w:vAlign w:val="center"/>
          </w:tcPr>
          <w:p w:rsidR="00247C3B" w:rsidRDefault="00247C3B" w:rsidP="00247C3B">
            <w:pPr>
              <w:jc w:val="center"/>
              <w:rPr>
                <w:color w:val="FFFFFF"/>
              </w:rPr>
            </w:pPr>
            <w:r>
              <w:rPr>
                <w:color w:val="FFFFFF"/>
              </w:rPr>
              <w:t>Information Commons Usage</w:t>
            </w:r>
          </w:p>
          <w:p w:rsidR="00247C3B" w:rsidRPr="005E5126" w:rsidRDefault="00247C3B" w:rsidP="00247C3B">
            <w:pPr>
              <w:jc w:val="center"/>
              <w:rPr>
                <w:color w:val="FFFFFF"/>
              </w:rPr>
            </w:pPr>
          </w:p>
        </w:tc>
      </w:tr>
      <w:tr w:rsidR="00247C3B" w:rsidRPr="005E5126" w:rsidTr="00247C3B">
        <w:tc>
          <w:tcPr>
            <w:tcW w:w="1182" w:type="dxa"/>
            <w:shd w:val="pct50" w:color="auto" w:fill="auto"/>
            <w:vAlign w:val="center"/>
          </w:tcPr>
          <w:p w:rsidR="00247C3B" w:rsidRPr="005E5126" w:rsidRDefault="00247C3B" w:rsidP="00247C3B">
            <w:pPr>
              <w:jc w:val="center"/>
              <w:rPr>
                <w:color w:val="FFFFFF"/>
              </w:rPr>
            </w:pPr>
            <w:r w:rsidRPr="005E5126">
              <w:rPr>
                <w:color w:val="FFFFFF"/>
              </w:rPr>
              <w:t>Year</w:t>
            </w:r>
          </w:p>
        </w:tc>
        <w:tc>
          <w:tcPr>
            <w:tcW w:w="1159" w:type="dxa"/>
            <w:shd w:val="pct50" w:color="auto" w:fill="auto"/>
            <w:vAlign w:val="center"/>
          </w:tcPr>
          <w:p w:rsidR="00247C3B" w:rsidRPr="005E5126" w:rsidRDefault="00247C3B" w:rsidP="00247C3B">
            <w:pPr>
              <w:jc w:val="center"/>
              <w:rPr>
                <w:color w:val="FFFFFF"/>
              </w:rPr>
            </w:pPr>
            <w:r w:rsidRPr="005E5126">
              <w:rPr>
                <w:color w:val="FFFFFF"/>
              </w:rPr>
              <w:t>Head Count</w:t>
            </w:r>
          </w:p>
        </w:tc>
        <w:tc>
          <w:tcPr>
            <w:tcW w:w="1184" w:type="dxa"/>
            <w:shd w:val="pct50" w:color="auto" w:fill="auto"/>
            <w:vAlign w:val="center"/>
          </w:tcPr>
          <w:p w:rsidR="00247C3B" w:rsidRPr="005E5126" w:rsidRDefault="00247C3B" w:rsidP="00247C3B">
            <w:pPr>
              <w:jc w:val="center"/>
              <w:rPr>
                <w:color w:val="FFFFFF"/>
              </w:rPr>
            </w:pPr>
            <w:r w:rsidRPr="005E5126">
              <w:rPr>
                <w:color w:val="FFFFFF"/>
              </w:rPr>
              <w:t>Change Since Previous</w:t>
            </w:r>
          </w:p>
        </w:tc>
        <w:tc>
          <w:tcPr>
            <w:tcW w:w="1142" w:type="dxa"/>
            <w:shd w:val="pct50" w:color="auto" w:fill="auto"/>
            <w:vAlign w:val="center"/>
          </w:tcPr>
          <w:p w:rsidR="00247C3B" w:rsidRPr="005E5126" w:rsidRDefault="00247C3B" w:rsidP="00247C3B">
            <w:pPr>
              <w:jc w:val="center"/>
              <w:rPr>
                <w:color w:val="FFFFFF"/>
              </w:rPr>
            </w:pPr>
            <w:r w:rsidRPr="005E5126">
              <w:rPr>
                <w:color w:val="FFFFFF"/>
              </w:rPr>
              <w:t>Desk Activity</w:t>
            </w:r>
          </w:p>
        </w:tc>
        <w:tc>
          <w:tcPr>
            <w:tcW w:w="1184" w:type="dxa"/>
            <w:shd w:val="pct50" w:color="auto" w:fill="auto"/>
            <w:vAlign w:val="center"/>
          </w:tcPr>
          <w:p w:rsidR="00247C3B" w:rsidRPr="005E5126" w:rsidRDefault="00247C3B" w:rsidP="00247C3B">
            <w:pPr>
              <w:jc w:val="center"/>
              <w:rPr>
                <w:color w:val="FFFFFF"/>
              </w:rPr>
            </w:pPr>
            <w:r w:rsidRPr="005E5126">
              <w:rPr>
                <w:color w:val="FFFFFF"/>
              </w:rPr>
              <w:t>Change Since Previous</w:t>
            </w:r>
          </w:p>
        </w:tc>
        <w:tc>
          <w:tcPr>
            <w:tcW w:w="1141" w:type="dxa"/>
            <w:shd w:val="pct50" w:color="auto" w:fill="auto"/>
            <w:vAlign w:val="center"/>
          </w:tcPr>
          <w:p w:rsidR="00247C3B" w:rsidRPr="005E5126" w:rsidRDefault="00247C3B" w:rsidP="00247C3B">
            <w:pPr>
              <w:jc w:val="center"/>
              <w:rPr>
                <w:color w:val="FFFFFF"/>
              </w:rPr>
            </w:pPr>
            <w:r w:rsidRPr="005E5126">
              <w:rPr>
                <w:color w:val="FFFFFF"/>
              </w:rPr>
              <w:t>Weekly Staff Hours</w:t>
            </w:r>
          </w:p>
        </w:tc>
        <w:tc>
          <w:tcPr>
            <w:tcW w:w="1184" w:type="dxa"/>
            <w:shd w:val="pct50" w:color="auto" w:fill="auto"/>
            <w:vAlign w:val="center"/>
          </w:tcPr>
          <w:p w:rsidR="00247C3B" w:rsidRPr="005E5126" w:rsidRDefault="00247C3B" w:rsidP="00247C3B">
            <w:pPr>
              <w:jc w:val="center"/>
              <w:rPr>
                <w:color w:val="FFFFFF"/>
              </w:rPr>
            </w:pPr>
            <w:r w:rsidRPr="005E5126">
              <w:rPr>
                <w:color w:val="FFFFFF"/>
              </w:rPr>
              <w:t>Change Since Previous</w:t>
            </w:r>
          </w:p>
        </w:tc>
      </w:tr>
      <w:tr w:rsidR="00247C3B" w:rsidRPr="005E5126" w:rsidTr="00247C3B">
        <w:tc>
          <w:tcPr>
            <w:tcW w:w="1182" w:type="dxa"/>
            <w:shd w:val="clear" w:color="auto" w:fill="auto"/>
          </w:tcPr>
          <w:p w:rsidR="00247C3B" w:rsidRPr="005E5126" w:rsidRDefault="00247C3B" w:rsidP="00247C3B">
            <w:pPr>
              <w:jc w:val="right"/>
            </w:pPr>
            <w:r>
              <w:t>FY2013</w:t>
            </w:r>
          </w:p>
        </w:tc>
        <w:tc>
          <w:tcPr>
            <w:tcW w:w="1159" w:type="dxa"/>
            <w:shd w:val="clear" w:color="auto" w:fill="auto"/>
          </w:tcPr>
          <w:p w:rsidR="00247C3B" w:rsidRPr="005E5126" w:rsidRDefault="00247C3B" w:rsidP="00247C3B">
            <w:pPr>
              <w:jc w:val="right"/>
            </w:pPr>
            <w:r>
              <w:t>234,183</w:t>
            </w:r>
          </w:p>
        </w:tc>
        <w:tc>
          <w:tcPr>
            <w:tcW w:w="1184" w:type="dxa"/>
            <w:shd w:val="clear" w:color="auto" w:fill="auto"/>
          </w:tcPr>
          <w:p w:rsidR="00247C3B" w:rsidRPr="005E5126" w:rsidRDefault="00247C3B" w:rsidP="00247C3B">
            <w:pPr>
              <w:jc w:val="right"/>
            </w:pPr>
            <w:r>
              <w:t>-13%</w:t>
            </w:r>
          </w:p>
        </w:tc>
        <w:tc>
          <w:tcPr>
            <w:tcW w:w="1142" w:type="dxa"/>
            <w:shd w:val="clear" w:color="auto" w:fill="auto"/>
          </w:tcPr>
          <w:p w:rsidR="00247C3B" w:rsidRPr="005E5126" w:rsidRDefault="00247C3B" w:rsidP="00247C3B">
            <w:pPr>
              <w:jc w:val="right"/>
            </w:pPr>
            <w:r>
              <w:t>15,047</w:t>
            </w:r>
          </w:p>
        </w:tc>
        <w:tc>
          <w:tcPr>
            <w:tcW w:w="1184" w:type="dxa"/>
            <w:shd w:val="clear" w:color="auto" w:fill="auto"/>
          </w:tcPr>
          <w:p w:rsidR="00247C3B" w:rsidRPr="005E5126" w:rsidRDefault="00247C3B" w:rsidP="00247C3B">
            <w:pPr>
              <w:jc w:val="right"/>
            </w:pPr>
            <w:r>
              <w:t>+7%</w:t>
            </w:r>
          </w:p>
        </w:tc>
        <w:tc>
          <w:tcPr>
            <w:tcW w:w="1141" w:type="dxa"/>
            <w:shd w:val="clear" w:color="auto" w:fill="auto"/>
          </w:tcPr>
          <w:p w:rsidR="00247C3B" w:rsidRPr="005E5126" w:rsidRDefault="00247C3B" w:rsidP="00247C3B">
            <w:pPr>
              <w:jc w:val="right"/>
            </w:pPr>
            <w:r>
              <w:t>137</w:t>
            </w:r>
          </w:p>
        </w:tc>
        <w:tc>
          <w:tcPr>
            <w:tcW w:w="1184" w:type="dxa"/>
            <w:shd w:val="clear" w:color="auto" w:fill="auto"/>
          </w:tcPr>
          <w:p w:rsidR="00247C3B" w:rsidRPr="005E5126" w:rsidRDefault="00247C3B" w:rsidP="00247C3B">
            <w:pPr>
              <w:jc w:val="right"/>
            </w:pPr>
            <w:r>
              <w:t>+16%</w:t>
            </w:r>
          </w:p>
        </w:tc>
      </w:tr>
      <w:tr w:rsidR="00247C3B" w:rsidRPr="005E5126" w:rsidTr="00247C3B">
        <w:tc>
          <w:tcPr>
            <w:tcW w:w="1182" w:type="dxa"/>
            <w:shd w:val="clear" w:color="auto" w:fill="auto"/>
          </w:tcPr>
          <w:p w:rsidR="00247C3B" w:rsidRPr="005E5126" w:rsidRDefault="00247C3B" w:rsidP="00247C3B">
            <w:pPr>
              <w:jc w:val="right"/>
            </w:pPr>
            <w:r w:rsidRPr="005E5126">
              <w:t>FY2012</w:t>
            </w:r>
          </w:p>
        </w:tc>
        <w:tc>
          <w:tcPr>
            <w:tcW w:w="1159" w:type="dxa"/>
            <w:shd w:val="clear" w:color="auto" w:fill="auto"/>
          </w:tcPr>
          <w:p w:rsidR="00247C3B" w:rsidRPr="005E5126" w:rsidRDefault="00247C3B" w:rsidP="00247C3B">
            <w:pPr>
              <w:jc w:val="right"/>
            </w:pPr>
            <w:r w:rsidRPr="005E5126">
              <w:t>268,898</w:t>
            </w:r>
          </w:p>
        </w:tc>
        <w:tc>
          <w:tcPr>
            <w:tcW w:w="1184" w:type="dxa"/>
            <w:shd w:val="clear" w:color="auto" w:fill="auto"/>
          </w:tcPr>
          <w:p w:rsidR="00247C3B" w:rsidRPr="005E5126" w:rsidRDefault="00247C3B" w:rsidP="00247C3B">
            <w:pPr>
              <w:jc w:val="right"/>
            </w:pPr>
            <w:r w:rsidRPr="005E5126">
              <w:t>+28%</w:t>
            </w:r>
          </w:p>
        </w:tc>
        <w:tc>
          <w:tcPr>
            <w:tcW w:w="1142" w:type="dxa"/>
            <w:shd w:val="clear" w:color="auto" w:fill="auto"/>
          </w:tcPr>
          <w:p w:rsidR="00247C3B" w:rsidRPr="005E5126" w:rsidRDefault="00247C3B" w:rsidP="00247C3B">
            <w:pPr>
              <w:jc w:val="right"/>
            </w:pPr>
            <w:r w:rsidRPr="005E5126">
              <w:t>14,047</w:t>
            </w:r>
          </w:p>
        </w:tc>
        <w:tc>
          <w:tcPr>
            <w:tcW w:w="1184" w:type="dxa"/>
            <w:shd w:val="clear" w:color="auto" w:fill="auto"/>
          </w:tcPr>
          <w:p w:rsidR="00247C3B" w:rsidRPr="005E5126" w:rsidRDefault="00247C3B" w:rsidP="00247C3B">
            <w:pPr>
              <w:jc w:val="right"/>
            </w:pPr>
            <w:r w:rsidRPr="005E5126">
              <w:t>+87%</w:t>
            </w:r>
          </w:p>
        </w:tc>
        <w:tc>
          <w:tcPr>
            <w:tcW w:w="1141" w:type="dxa"/>
            <w:shd w:val="clear" w:color="auto" w:fill="auto"/>
          </w:tcPr>
          <w:p w:rsidR="00247C3B" w:rsidRDefault="00247C3B" w:rsidP="00247C3B">
            <w:pPr>
              <w:jc w:val="right"/>
            </w:pPr>
            <w:r w:rsidRPr="005E5126">
              <w:t>118</w:t>
            </w:r>
          </w:p>
        </w:tc>
        <w:tc>
          <w:tcPr>
            <w:tcW w:w="1184" w:type="dxa"/>
            <w:shd w:val="clear" w:color="auto" w:fill="auto"/>
          </w:tcPr>
          <w:p w:rsidR="00247C3B" w:rsidRPr="005E5126" w:rsidRDefault="00247C3B" w:rsidP="00247C3B">
            <w:pPr>
              <w:jc w:val="right"/>
            </w:pPr>
            <w:r w:rsidRPr="005E5126">
              <w:t>0</w:t>
            </w:r>
          </w:p>
        </w:tc>
      </w:tr>
      <w:tr w:rsidR="00247C3B" w:rsidRPr="005E5126" w:rsidTr="00247C3B">
        <w:tc>
          <w:tcPr>
            <w:tcW w:w="1182" w:type="dxa"/>
            <w:shd w:val="clear" w:color="auto" w:fill="auto"/>
          </w:tcPr>
          <w:p w:rsidR="00247C3B" w:rsidRPr="005E5126" w:rsidRDefault="00247C3B" w:rsidP="00247C3B">
            <w:pPr>
              <w:jc w:val="right"/>
            </w:pPr>
            <w:r w:rsidRPr="005E5126">
              <w:t>FY2011</w:t>
            </w:r>
          </w:p>
        </w:tc>
        <w:tc>
          <w:tcPr>
            <w:tcW w:w="1159" w:type="dxa"/>
            <w:shd w:val="clear" w:color="auto" w:fill="auto"/>
          </w:tcPr>
          <w:p w:rsidR="00247C3B" w:rsidRPr="005E5126" w:rsidRDefault="00247C3B" w:rsidP="00247C3B">
            <w:pPr>
              <w:jc w:val="right"/>
            </w:pPr>
            <w:r w:rsidRPr="005E5126">
              <w:t>210,762</w:t>
            </w:r>
          </w:p>
        </w:tc>
        <w:tc>
          <w:tcPr>
            <w:tcW w:w="1184" w:type="dxa"/>
            <w:shd w:val="clear" w:color="auto" w:fill="auto"/>
          </w:tcPr>
          <w:p w:rsidR="00247C3B" w:rsidRPr="005E5126" w:rsidRDefault="00247C3B" w:rsidP="00247C3B">
            <w:pPr>
              <w:jc w:val="right"/>
            </w:pPr>
            <w:r w:rsidRPr="005E5126">
              <w:t>+100%</w:t>
            </w:r>
          </w:p>
        </w:tc>
        <w:tc>
          <w:tcPr>
            <w:tcW w:w="1142" w:type="dxa"/>
            <w:shd w:val="clear" w:color="auto" w:fill="auto"/>
          </w:tcPr>
          <w:p w:rsidR="00247C3B" w:rsidRPr="005E5126" w:rsidRDefault="00247C3B" w:rsidP="00247C3B">
            <w:pPr>
              <w:jc w:val="right"/>
            </w:pPr>
            <w:r w:rsidRPr="005E5126">
              <w:t>7,531</w:t>
            </w:r>
          </w:p>
        </w:tc>
        <w:tc>
          <w:tcPr>
            <w:tcW w:w="1184" w:type="dxa"/>
            <w:shd w:val="clear" w:color="auto" w:fill="auto"/>
          </w:tcPr>
          <w:p w:rsidR="00247C3B" w:rsidRPr="005E5126" w:rsidRDefault="00247C3B" w:rsidP="00247C3B">
            <w:pPr>
              <w:jc w:val="right"/>
            </w:pPr>
            <w:r w:rsidRPr="005E5126">
              <w:t>-15%</w:t>
            </w:r>
          </w:p>
        </w:tc>
        <w:tc>
          <w:tcPr>
            <w:tcW w:w="1141" w:type="dxa"/>
            <w:shd w:val="clear" w:color="auto" w:fill="auto"/>
          </w:tcPr>
          <w:p w:rsidR="00247C3B" w:rsidRDefault="00247C3B" w:rsidP="00247C3B">
            <w:pPr>
              <w:jc w:val="right"/>
            </w:pPr>
            <w:r w:rsidRPr="005E5126">
              <w:t>118</w:t>
            </w:r>
          </w:p>
        </w:tc>
        <w:tc>
          <w:tcPr>
            <w:tcW w:w="1184" w:type="dxa"/>
            <w:shd w:val="clear" w:color="auto" w:fill="auto"/>
          </w:tcPr>
          <w:p w:rsidR="00247C3B" w:rsidRPr="005E5126" w:rsidRDefault="00247C3B" w:rsidP="00247C3B">
            <w:pPr>
              <w:jc w:val="right"/>
            </w:pPr>
            <w:r w:rsidRPr="005E5126">
              <w:t>0</w:t>
            </w:r>
          </w:p>
        </w:tc>
      </w:tr>
      <w:tr w:rsidR="00247C3B" w:rsidRPr="005E5126" w:rsidTr="00247C3B">
        <w:tc>
          <w:tcPr>
            <w:tcW w:w="1182" w:type="dxa"/>
            <w:shd w:val="clear" w:color="auto" w:fill="auto"/>
          </w:tcPr>
          <w:p w:rsidR="00247C3B" w:rsidRPr="005E5126" w:rsidRDefault="00247C3B" w:rsidP="00247C3B">
            <w:pPr>
              <w:jc w:val="right"/>
            </w:pPr>
            <w:r w:rsidRPr="005E5126">
              <w:t>FY2010</w:t>
            </w:r>
          </w:p>
        </w:tc>
        <w:tc>
          <w:tcPr>
            <w:tcW w:w="1159" w:type="dxa"/>
            <w:shd w:val="clear" w:color="auto" w:fill="auto"/>
          </w:tcPr>
          <w:p w:rsidR="00247C3B" w:rsidRPr="005E5126" w:rsidRDefault="00247C3B" w:rsidP="00247C3B">
            <w:pPr>
              <w:jc w:val="right"/>
            </w:pPr>
            <w:r w:rsidRPr="005E5126">
              <w:t>105,154</w:t>
            </w:r>
          </w:p>
        </w:tc>
        <w:tc>
          <w:tcPr>
            <w:tcW w:w="1184" w:type="dxa"/>
            <w:shd w:val="clear" w:color="auto" w:fill="auto"/>
          </w:tcPr>
          <w:p w:rsidR="00247C3B" w:rsidRPr="005E5126" w:rsidRDefault="00247C3B" w:rsidP="00247C3B">
            <w:pPr>
              <w:jc w:val="right"/>
            </w:pPr>
            <w:r w:rsidRPr="005E5126">
              <w:t>+52%</w:t>
            </w:r>
          </w:p>
        </w:tc>
        <w:tc>
          <w:tcPr>
            <w:tcW w:w="1142" w:type="dxa"/>
            <w:shd w:val="clear" w:color="auto" w:fill="auto"/>
          </w:tcPr>
          <w:p w:rsidR="00247C3B" w:rsidRPr="005E5126" w:rsidRDefault="00247C3B" w:rsidP="00247C3B">
            <w:pPr>
              <w:jc w:val="right"/>
            </w:pPr>
            <w:r w:rsidRPr="005E5126">
              <w:t>8,858</w:t>
            </w:r>
          </w:p>
        </w:tc>
        <w:tc>
          <w:tcPr>
            <w:tcW w:w="1184" w:type="dxa"/>
            <w:shd w:val="clear" w:color="auto" w:fill="auto"/>
          </w:tcPr>
          <w:p w:rsidR="00247C3B" w:rsidRPr="005E5126" w:rsidRDefault="00247C3B" w:rsidP="00247C3B">
            <w:pPr>
              <w:jc w:val="right"/>
            </w:pPr>
            <w:r w:rsidRPr="005E5126">
              <w:t>+38%</w:t>
            </w:r>
          </w:p>
        </w:tc>
        <w:tc>
          <w:tcPr>
            <w:tcW w:w="1141" w:type="dxa"/>
            <w:shd w:val="clear" w:color="auto" w:fill="auto"/>
          </w:tcPr>
          <w:p w:rsidR="00247C3B" w:rsidRDefault="00247C3B" w:rsidP="00247C3B">
            <w:pPr>
              <w:jc w:val="right"/>
            </w:pPr>
            <w:r w:rsidRPr="005E5126">
              <w:t>118</w:t>
            </w:r>
          </w:p>
        </w:tc>
        <w:tc>
          <w:tcPr>
            <w:tcW w:w="1184" w:type="dxa"/>
            <w:shd w:val="clear" w:color="auto" w:fill="auto"/>
          </w:tcPr>
          <w:p w:rsidR="00247C3B" w:rsidRPr="005E5126" w:rsidRDefault="00247C3B" w:rsidP="00247C3B">
            <w:pPr>
              <w:jc w:val="right"/>
            </w:pPr>
            <w:r w:rsidRPr="005E5126">
              <w:t>0</w:t>
            </w:r>
          </w:p>
        </w:tc>
      </w:tr>
      <w:tr w:rsidR="00247C3B" w:rsidRPr="005E5126" w:rsidTr="00247C3B">
        <w:tc>
          <w:tcPr>
            <w:tcW w:w="1182" w:type="dxa"/>
            <w:shd w:val="clear" w:color="auto" w:fill="auto"/>
          </w:tcPr>
          <w:p w:rsidR="00247C3B" w:rsidRPr="005E5126" w:rsidRDefault="00247C3B" w:rsidP="00247C3B">
            <w:pPr>
              <w:jc w:val="right"/>
            </w:pPr>
            <w:r w:rsidRPr="005E5126">
              <w:t>FY2009</w:t>
            </w:r>
          </w:p>
        </w:tc>
        <w:tc>
          <w:tcPr>
            <w:tcW w:w="1159" w:type="dxa"/>
            <w:shd w:val="clear" w:color="auto" w:fill="auto"/>
          </w:tcPr>
          <w:p w:rsidR="00247C3B" w:rsidRPr="005E5126" w:rsidRDefault="00247C3B" w:rsidP="00247C3B">
            <w:pPr>
              <w:jc w:val="right"/>
            </w:pPr>
            <w:r w:rsidRPr="005E5126">
              <w:t>69,099</w:t>
            </w:r>
          </w:p>
        </w:tc>
        <w:tc>
          <w:tcPr>
            <w:tcW w:w="1184" w:type="dxa"/>
            <w:shd w:val="clear" w:color="auto" w:fill="auto"/>
          </w:tcPr>
          <w:p w:rsidR="00247C3B" w:rsidRPr="005E5126" w:rsidRDefault="00247C3B" w:rsidP="00247C3B">
            <w:pPr>
              <w:jc w:val="right"/>
            </w:pPr>
            <w:r w:rsidRPr="005E5126">
              <w:t>+41%</w:t>
            </w:r>
          </w:p>
        </w:tc>
        <w:tc>
          <w:tcPr>
            <w:tcW w:w="1142" w:type="dxa"/>
            <w:shd w:val="clear" w:color="auto" w:fill="auto"/>
          </w:tcPr>
          <w:p w:rsidR="00247C3B" w:rsidRPr="005E5126" w:rsidRDefault="00247C3B" w:rsidP="00247C3B">
            <w:pPr>
              <w:jc w:val="right"/>
            </w:pPr>
            <w:r w:rsidRPr="005E5126">
              <w:t>6,401</w:t>
            </w:r>
          </w:p>
        </w:tc>
        <w:tc>
          <w:tcPr>
            <w:tcW w:w="1184" w:type="dxa"/>
            <w:shd w:val="clear" w:color="auto" w:fill="auto"/>
          </w:tcPr>
          <w:p w:rsidR="00247C3B" w:rsidRPr="005E5126" w:rsidRDefault="00247C3B" w:rsidP="00247C3B">
            <w:pPr>
              <w:jc w:val="right"/>
            </w:pPr>
            <w:r w:rsidRPr="005E5126">
              <w:t>+143%</w:t>
            </w:r>
          </w:p>
        </w:tc>
        <w:tc>
          <w:tcPr>
            <w:tcW w:w="1141" w:type="dxa"/>
            <w:shd w:val="clear" w:color="auto" w:fill="auto"/>
          </w:tcPr>
          <w:p w:rsidR="00247C3B" w:rsidRDefault="00247C3B" w:rsidP="00247C3B">
            <w:pPr>
              <w:jc w:val="right"/>
            </w:pPr>
            <w:r w:rsidRPr="005E5126">
              <w:t>118</w:t>
            </w:r>
          </w:p>
        </w:tc>
        <w:tc>
          <w:tcPr>
            <w:tcW w:w="1184" w:type="dxa"/>
            <w:shd w:val="clear" w:color="auto" w:fill="auto"/>
          </w:tcPr>
          <w:p w:rsidR="00247C3B" w:rsidRPr="005E5126" w:rsidRDefault="00247C3B" w:rsidP="00247C3B">
            <w:pPr>
              <w:jc w:val="right"/>
            </w:pPr>
            <w:r w:rsidRPr="005E5126">
              <w:t>0</w:t>
            </w:r>
          </w:p>
        </w:tc>
      </w:tr>
      <w:tr w:rsidR="00247C3B" w:rsidRPr="005E5126" w:rsidTr="00247C3B">
        <w:tc>
          <w:tcPr>
            <w:tcW w:w="1182" w:type="dxa"/>
            <w:shd w:val="clear" w:color="auto" w:fill="auto"/>
          </w:tcPr>
          <w:p w:rsidR="00247C3B" w:rsidRPr="005E5126" w:rsidRDefault="00247C3B" w:rsidP="00247C3B">
            <w:pPr>
              <w:jc w:val="right"/>
            </w:pPr>
            <w:r w:rsidRPr="005E5126">
              <w:t>FY2008</w:t>
            </w:r>
          </w:p>
        </w:tc>
        <w:tc>
          <w:tcPr>
            <w:tcW w:w="1159" w:type="dxa"/>
            <w:shd w:val="clear" w:color="auto" w:fill="auto"/>
          </w:tcPr>
          <w:p w:rsidR="00247C3B" w:rsidRPr="005E5126" w:rsidRDefault="00247C3B" w:rsidP="00247C3B">
            <w:pPr>
              <w:jc w:val="right"/>
            </w:pPr>
            <w:r w:rsidRPr="005E5126">
              <w:t>48,946</w:t>
            </w:r>
          </w:p>
        </w:tc>
        <w:tc>
          <w:tcPr>
            <w:tcW w:w="1184" w:type="dxa"/>
            <w:shd w:val="clear" w:color="auto" w:fill="auto"/>
          </w:tcPr>
          <w:p w:rsidR="00247C3B" w:rsidRPr="005E5126" w:rsidRDefault="00247C3B" w:rsidP="00247C3B">
            <w:pPr>
              <w:jc w:val="right"/>
            </w:pPr>
            <w:r w:rsidRPr="005E5126">
              <w:t>NA</w:t>
            </w:r>
          </w:p>
        </w:tc>
        <w:tc>
          <w:tcPr>
            <w:tcW w:w="1142" w:type="dxa"/>
            <w:shd w:val="clear" w:color="auto" w:fill="auto"/>
          </w:tcPr>
          <w:p w:rsidR="00247C3B" w:rsidRPr="005E5126" w:rsidRDefault="00247C3B" w:rsidP="00247C3B">
            <w:pPr>
              <w:jc w:val="right"/>
            </w:pPr>
            <w:r w:rsidRPr="005E5126">
              <w:t>2,636</w:t>
            </w:r>
          </w:p>
        </w:tc>
        <w:tc>
          <w:tcPr>
            <w:tcW w:w="1184" w:type="dxa"/>
            <w:shd w:val="clear" w:color="auto" w:fill="auto"/>
          </w:tcPr>
          <w:p w:rsidR="00247C3B" w:rsidRPr="005E5126" w:rsidRDefault="00247C3B" w:rsidP="00247C3B">
            <w:pPr>
              <w:jc w:val="right"/>
            </w:pPr>
            <w:r w:rsidRPr="005E5126">
              <w:t>NA</w:t>
            </w:r>
          </w:p>
        </w:tc>
        <w:tc>
          <w:tcPr>
            <w:tcW w:w="1141" w:type="dxa"/>
            <w:shd w:val="clear" w:color="auto" w:fill="auto"/>
          </w:tcPr>
          <w:p w:rsidR="00247C3B" w:rsidRPr="005E5126" w:rsidRDefault="00247C3B" w:rsidP="00247C3B">
            <w:pPr>
              <w:jc w:val="right"/>
            </w:pPr>
            <w:r w:rsidRPr="005E5126">
              <w:t>118</w:t>
            </w:r>
          </w:p>
        </w:tc>
        <w:tc>
          <w:tcPr>
            <w:tcW w:w="1184" w:type="dxa"/>
            <w:shd w:val="clear" w:color="auto" w:fill="auto"/>
          </w:tcPr>
          <w:p w:rsidR="00247C3B" w:rsidRPr="005E5126" w:rsidRDefault="00247C3B" w:rsidP="00247C3B">
            <w:pPr>
              <w:jc w:val="right"/>
            </w:pPr>
            <w:r w:rsidRPr="005E5126">
              <w:t>+19%</w:t>
            </w:r>
          </w:p>
        </w:tc>
      </w:tr>
      <w:tr w:rsidR="00247C3B" w:rsidRPr="005E5126" w:rsidTr="00247C3B">
        <w:tc>
          <w:tcPr>
            <w:tcW w:w="1182" w:type="dxa"/>
            <w:shd w:val="clear" w:color="auto" w:fill="auto"/>
          </w:tcPr>
          <w:p w:rsidR="00247C3B" w:rsidRPr="005E5126" w:rsidRDefault="00247C3B" w:rsidP="00247C3B">
            <w:pPr>
              <w:jc w:val="right"/>
            </w:pPr>
            <w:r w:rsidRPr="005E5126">
              <w:t>FY2007*</w:t>
            </w:r>
          </w:p>
        </w:tc>
        <w:tc>
          <w:tcPr>
            <w:tcW w:w="1159" w:type="dxa"/>
            <w:shd w:val="clear" w:color="auto" w:fill="auto"/>
          </w:tcPr>
          <w:p w:rsidR="00247C3B" w:rsidRPr="005E5126" w:rsidRDefault="00247C3B" w:rsidP="00247C3B">
            <w:pPr>
              <w:jc w:val="right"/>
            </w:pPr>
            <w:r w:rsidRPr="005E5126">
              <w:t>19,340</w:t>
            </w:r>
          </w:p>
        </w:tc>
        <w:tc>
          <w:tcPr>
            <w:tcW w:w="1184" w:type="dxa"/>
            <w:shd w:val="clear" w:color="auto" w:fill="auto"/>
          </w:tcPr>
          <w:p w:rsidR="00247C3B" w:rsidRPr="005E5126" w:rsidRDefault="00247C3B" w:rsidP="00247C3B">
            <w:pPr>
              <w:jc w:val="right"/>
            </w:pPr>
            <w:r w:rsidRPr="005E5126">
              <w:t>NA</w:t>
            </w:r>
          </w:p>
        </w:tc>
        <w:tc>
          <w:tcPr>
            <w:tcW w:w="1142" w:type="dxa"/>
            <w:shd w:val="clear" w:color="auto" w:fill="auto"/>
          </w:tcPr>
          <w:p w:rsidR="00247C3B" w:rsidRPr="005E5126" w:rsidRDefault="00247C3B" w:rsidP="00247C3B">
            <w:pPr>
              <w:jc w:val="right"/>
            </w:pPr>
            <w:r w:rsidRPr="005E5126">
              <w:t>1,641</w:t>
            </w:r>
          </w:p>
        </w:tc>
        <w:tc>
          <w:tcPr>
            <w:tcW w:w="1184" w:type="dxa"/>
            <w:shd w:val="clear" w:color="auto" w:fill="auto"/>
          </w:tcPr>
          <w:p w:rsidR="00247C3B" w:rsidRPr="005E5126" w:rsidRDefault="00247C3B" w:rsidP="00247C3B">
            <w:pPr>
              <w:jc w:val="right"/>
            </w:pPr>
            <w:r w:rsidRPr="005E5126">
              <w:t>NA</w:t>
            </w:r>
          </w:p>
        </w:tc>
        <w:tc>
          <w:tcPr>
            <w:tcW w:w="1141" w:type="dxa"/>
            <w:shd w:val="clear" w:color="auto" w:fill="auto"/>
          </w:tcPr>
          <w:p w:rsidR="00247C3B" w:rsidRPr="005E5126" w:rsidRDefault="00247C3B" w:rsidP="00247C3B">
            <w:pPr>
              <w:jc w:val="right"/>
            </w:pPr>
            <w:r w:rsidRPr="005E5126">
              <w:t>99</w:t>
            </w:r>
          </w:p>
        </w:tc>
        <w:tc>
          <w:tcPr>
            <w:tcW w:w="1184" w:type="dxa"/>
            <w:shd w:val="clear" w:color="auto" w:fill="auto"/>
          </w:tcPr>
          <w:p w:rsidR="00247C3B" w:rsidRPr="005E5126" w:rsidRDefault="00247C3B" w:rsidP="00247C3B">
            <w:pPr>
              <w:jc w:val="right"/>
            </w:pPr>
            <w:r w:rsidRPr="005E5126">
              <w:t>NA</w:t>
            </w:r>
          </w:p>
        </w:tc>
      </w:tr>
    </w:tbl>
    <w:p w:rsidR="00524F54" w:rsidRDefault="00524F54" w:rsidP="00E40C53">
      <w:pPr>
        <w:jc w:val="center"/>
      </w:pPr>
    </w:p>
    <w:p w:rsidR="00247C3B" w:rsidRDefault="00247C3B" w:rsidP="00E40C53">
      <w:pPr>
        <w:jc w:val="center"/>
      </w:pPr>
    </w:p>
    <w:p w:rsidR="00B40B39" w:rsidRDefault="00B40B39" w:rsidP="005D44A1"/>
    <w:p w:rsidR="00B40B39" w:rsidRPr="00B40B39" w:rsidRDefault="00B40B39" w:rsidP="00B40B39"/>
    <w:p w:rsidR="00B40B39" w:rsidRPr="00B40B39" w:rsidRDefault="00B40B39" w:rsidP="00B40B39"/>
    <w:p w:rsidR="00B40B39" w:rsidRPr="00B40B39" w:rsidRDefault="00B40B39" w:rsidP="00B40B39"/>
    <w:p w:rsidR="00B40B39" w:rsidRPr="00B40B39" w:rsidRDefault="00B40B39" w:rsidP="00B40B39"/>
    <w:p w:rsidR="00B40B39" w:rsidRPr="00B40B39" w:rsidRDefault="00B40B39" w:rsidP="00B40B39"/>
    <w:p w:rsidR="00B40B39" w:rsidRPr="00B40B39" w:rsidRDefault="00B40B39" w:rsidP="00B40B39"/>
    <w:p w:rsidR="00B40B39" w:rsidRPr="00B40B39" w:rsidRDefault="00B40B39" w:rsidP="00B40B39"/>
    <w:p w:rsidR="00B40B39" w:rsidRPr="00B40B39" w:rsidRDefault="00B40B39" w:rsidP="00B40B39"/>
    <w:p w:rsidR="00B40B39" w:rsidRDefault="00B40B39" w:rsidP="00B40B39"/>
    <w:p w:rsidR="00A92FF8" w:rsidRDefault="00A92FF8" w:rsidP="00B40B39"/>
    <w:p w:rsidR="00A92FF8" w:rsidRPr="00B40B39" w:rsidRDefault="00A92FF8" w:rsidP="00B40B39"/>
    <w:p w:rsidR="00B40B39" w:rsidRDefault="00B40B39" w:rsidP="00B40B39"/>
    <w:p w:rsidR="003F7820" w:rsidRPr="00B40B39" w:rsidRDefault="003F7820" w:rsidP="00B40B39"/>
    <w:p w:rsidR="00500BB6" w:rsidRDefault="00500BB6" w:rsidP="00500BB6">
      <w:pPr>
        <w:ind w:left="720"/>
      </w:pPr>
      <w:r>
        <w:t>*Library computing area opened on February 2, 2007, figures are for less than half the year.</w:t>
      </w:r>
    </w:p>
    <w:p w:rsidR="00500BB6" w:rsidRPr="00B40B39" w:rsidRDefault="00500BB6" w:rsidP="00B40B39"/>
    <w:tbl>
      <w:tblPr>
        <w:tblpPr w:leftFromText="180" w:rightFromText="180" w:vertAnchor="text" w:horzAnchor="margin" w:tblpXSpec="center" w:tblpY="-839"/>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990"/>
        <w:gridCol w:w="1260"/>
      </w:tblGrid>
      <w:tr w:rsidR="00500BB6" w:rsidRPr="004C5BE2" w:rsidTr="003F7820">
        <w:trPr>
          <w:trHeight w:val="302"/>
        </w:trPr>
        <w:tc>
          <w:tcPr>
            <w:tcW w:w="2898" w:type="dxa"/>
            <w:shd w:val="clear" w:color="auto" w:fill="auto"/>
          </w:tcPr>
          <w:p w:rsidR="00500BB6" w:rsidRPr="0098093F" w:rsidRDefault="00500BB6" w:rsidP="00500BB6">
            <w:pPr>
              <w:spacing w:before="100" w:beforeAutospacing="1" w:after="100" w:afterAutospacing="1" w:line="192" w:lineRule="atLeast"/>
              <w:rPr>
                <w:rFonts w:cs="Calibri"/>
                <w:b/>
                <w:bCs/>
              </w:rPr>
            </w:pPr>
          </w:p>
        </w:tc>
        <w:tc>
          <w:tcPr>
            <w:tcW w:w="990" w:type="dxa"/>
            <w:shd w:val="clear" w:color="auto" w:fill="auto"/>
            <w:vAlign w:val="bottom"/>
          </w:tcPr>
          <w:p w:rsidR="00500BB6" w:rsidRPr="0098093F" w:rsidRDefault="00500BB6" w:rsidP="003F7820">
            <w:pPr>
              <w:spacing w:before="100" w:beforeAutospacing="1" w:after="100" w:afterAutospacing="1" w:line="192" w:lineRule="atLeast"/>
              <w:jc w:val="right"/>
              <w:rPr>
                <w:rFonts w:cs="Calibri"/>
                <w:b/>
                <w:bCs/>
              </w:rPr>
            </w:pPr>
            <w:r>
              <w:rPr>
                <w:rFonts w:cs="Calibri"/>
                <w:b/>
                <w:bCs/>
              </w:rPr>
              <w:t>FY13</w:t>
            </w:r>
          </w:p>
        </w:tc>
        <w:tc>
          <w:tcPr>
            <w:tcW w:w="1260" w:type="dxa"/>
            <w:vAlign w:val="bottom"/>
          </w:tcPr>
          <w:p w:rsidR="00500BB6" w:rsidRDefault="00500BB6" w:rsidP="003F7820">
            <w:pPr>
              <w:spacing w:before="100" w:beforeAutospacing="1" w:after="100" w:afterAutospacing="1" w:line="192" w:lineRule="atLeast"/>
              <w:jc w:val="right"/>
              <w:rPr>
                <w:rFonts w:cs="Calibri"/>
                <w:b/>
                <w:bCs/>
              </w:rPr>
            </w:pPr>
            <w:r>
              <w:rPr>
                <w:rFonts w:cs="Calibri"/>
                <w:b/>
                <w:bCs/>
              </w:rPr>
              <w:t>FY12</w:t>
            </w:r>
          </w:p>
        </w:tc>
      </w:tr>
      <w:tr w:rsidR="00500BB6" w:rsidRPr="004C5BE2" w:rsidTr="00500BB6">
        <w:trPr>
          <w:trHeight w:val="302"/>
        </w:trPr>
        <w:tc>
          <w:tcPr>
            <w:tcW w:w="2898" w:type="dxa"/>
            <w:shd w:val="clear" w:color="auto" w:fill="auto"/>
          </w:tcPr>
          <w:p w:rsidR="00500BB6" w:rsidRPr="000B1F8E" w:rsidRDefault="00500BB6" w:rsidP="00500BB6">
            <w:pPr>
              <w:spacing w:before="100" w:beforeAutospacing="1" w:after="100" w:afterAutospacing="1" w:line="192" w:lineRule="atLeast"/>
              <w:rPr>
                <w:rFonts w:cs="Calibri"/>
                <w:b/>
                <w:bCs/>
                <w:i/>
              </w:rPr>
            </w:pPr>
            <w:r w:rsidRPr="000B1F8E">
              <w:rPr>
                <w:rFonts w:cs="Calibri"/>
                <w:b/>
                <w:bCs/>
                <w:i/>
              </w:rPr>
              <w:t xml:space="preserve">Reference Questions </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4868</w:t>
            </w:r>
          </w:p>
        </w:tc>
        <w:tc>
          <w:tcPr>
            <w:tcW w:w="1260" w:type="dxa"/>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5262</w:t>
            </w:r>
          </w:p>
        </w:tc>
      </w:tr>
      <w:tr w:rsidR="00500BB6" w:rsidRPr="004C5BE2" w:rsidTr="00500BB6">
        <w:trPr>
          <w:trHeight w:val="302"/>
        </w:trPr>
        <w:tc>
          <w:tcPr>
            <w:tcW w:w="2898" w:type="dxa"/>
            <w:shd w:val="clear" w:color="auto" w:fill="auto"/>
          </w:tcPr>
          <w:p w:rsidR="00500BB6" w:rsidRPr="00A44916" w:rsidRDefault="00500BB6" w:rsidP="00500BB6">
            <w:pPr>
              <w:spacing w:before="100" w:beforeAutospacing="1" w:after="100" w:afterAutospacing="1" w:line="192" w:lineRule="atLeast"/>
              <w:rPr>
                <w:rFonts w:cs="Calibri"/>
                <w:b/>
                <w:bCs/>
                <w:sz w:val="20"/>
                <w:szCs w:val="20"/>
              </w:rPr>
            </w:pPr>
            <w:r w:rsidRPr="0098093F">
              <w:rPr>
                <w:rFonts w:cs="Calibri"/>
                <w:sz w:val="20"/>
                <w:szCs w:val="20"/>
              </w:rPr>
              <w:t xml:space="preserve">   </w:t>
            </w:r>
            <w:r w:rsidRPr="00A44916">
              <w:rPr>
                <w:rFonts w:cs="Calibri"/>
                <w:b/>
                <w:sz w:val="20"/>
                <w:szCs w:val="20"/>
              </w:rPr>
              <w:t>Via Walkup</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sz w:val="20"/>
                <w:szCs w:val="20"/>
              </w:rPr>
            </w:pPr>
            <w:r>
              <w:rPr>
                <w:rFonts w:cs="Calibri"/>
                <w:bCs/>
                <w:sz w:val="20"/>
                <w:szCs w:val="20"/>
              </w:rPr>
              <w:t>4536</w:t>
            </w:r>
          </w:p>
        </w:tc>
        <w:tc>
          <w:tcPr>
            <w:tcW w:w="1260" w:type="dxa"/>
            <w:vAlign w:val="bottom"/>
          </w:tcPr>
          <w:p w:rsidR="00500BB6" w:rsidRPr="0098093F" w:rsidRDefault="00500BB6" w:rsidP="00500BB6">
            <w:pPr>
              <w:spacing w:before="100" w:beforeAutospacing="1" w:after="100" w:afterAutospacing="1" w:line="192" w:lineRule="atLeast"/>
              <w:jc w:val="right"/>
              <w:rPr>
                <w:rFonts w:cs="Calibri"/>
                <w:bCs/>
                <w:sz w:val="20"/>
                <w:szCs w:val="20"/>
              </w:rPr>
            </w:pPr>
            <w:r>
              <w:rPr>
                <w:rFonts w:cs="Calibri"/>
                <w:bCs/>
                <w:sz w:val="20"/>
                <w:szCs w:val="20"/>
              </w:rPr>
              <w:t>4888</w:t>
            </w:r>
          </w:p>
        </w:tc>
      </w:tr>
      <w:tr w:rsidR="00500BB6" w:rsidRPr="004C5BE2" w:rsidTr="00500BB6">
        <w:trPr>
          <w:trHeight w:val="302"/>
        </w:trPr>
        <w:tc>
          <w:tcPr>
            <w:tcW w:w="2898" w:type="dxa"/>
            <w:shd w:val="clear" w:color="auto" w:fill="auto"/>
          </w:tcPr>
          <w:p w:rsidR="00500BB6" w:rsidRPr="00A44916" w:rsidRDefault="00500BB6" w:rsidP="00500BB6">
            <w:pPr>
              <w:spacing w:before="100" w:beforeAutospacing="1" w:after="100" w:afterAutospacing="1" w:line="192" w:lineRule="atLeast"/>
              <w:rPr>
                <w:rFonts w:cs="Calibri"/>
                <w:b/>
                <w:bCs/>
                <w:sz w:val="20"/>
                <w:szCs w:val="20"/>
              </w:rPr>
            </w:pPr>
            <w:r w:rsidRPr="00A44916">
              <w:rPr>
                <w:rFonts w:cs="Calibri"/>
                <w:b/>
                <w:sz w:val="20"/>
                <w:szCs w:val="20"/>
              </w:rPr>
              <w:t xml:space="preserve">   Via Phone/Email/Chat</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sz w:val="20"/>
                <w:szCs w:val="20"/>
              </w:rPr>
            </w:pPr>
            <w:r>
              <w:rPr>
                <w:rFonts w:cs="Calibri"/>
                <w:bCs/>
                <w:sz w:val="20"/>
                <w:szCs w:val="20"/>
              </w:rPr>
              <w:t>326</w:t>
            </w:r>
          </w:p>
        </w:tc>
        <w:tc>
          <w:tcPr>
            <w:tcW w:w="1260" w:type="dxa"/>
            <w:vAlign w:val="bottom"/>
          </w:tcPr>
          <w:p w:rsidR="00500BB6" w:rsidRPr="0098093F" w:rsidRDefault="00500BB6" w:rsidP="00500BB6">
            <w:pPr>
              <w:spacing w:before="100" w:beforeAutospacing="1" w:after="100" w:afterAutospacing="1" w:line="192" w:lineRule="atLeast"/>
              <w:jc w:val="right"/>
              <w:rPr>
                <w:rFonts w:cs="Calibri"/>
                <w:bCs/>
                <w:sz w:val="20"/>
                <w:szCs w:val="20"/>
              </w:rPr>
            </w:pPr>
            <w:r>
              <w:rPr>
                <w:rFonts w:cs="Calibri"/>
                <w:bCs/>
                <w:sz w:val="20"/>
                <w:szCs w:val="20"/>
              </w:rPr>
              <w:t>365</w:t>
            </w:r>
          </w:p>
        </w:tc>
      </w:tr>
      <w:tr w:rsidR="00500BB6" w:rsidRPr="004C5BE2" w:rsidTr="00500BB6">
        <w:trPr>
          <w:trHeight w:val="302"/>
        </w:trPr>
        <w:tc>
          <w:tcPr>
            <w:tcW w:w="2898" w:type="dxa"/>
            <w:shd w:val="clear" w:color="auto" w:fill="auto"/>
          </w:tcPr>
          <w:p w:rsidR="00500BB6" w:rsidRPr="00A44916" w:rsidRDefault="00500BB6" w:rsidP="00500BB6">
            <w:pPr>
              <w:spacing w:before="100" w:beforeAutospacing="1" w:after="100" w:afterAutospacing="1" w:line="192" w:lineRule="atLeast"/>
              <w:rPr>
                <w:rFonts w:cs="Calibri"/>
                <w:b/>
                <w:bCs/>
              </w:rPr>
            </w:pPr>
            <w:r w:rsidRPr="00A44916">
              <w:rPr>
                <w:rFonts w:cs="Calibri"/>
                <w:b/>
                <w:sz w:val="20"/>
                <w:szCs w:val="20"/>
              </w:rPr>
              <w:t xml:space="preserve">   Via Research Consultation</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6</w:t>
            </w:r>
          </w:p>
        </w:tc>
        <w:tc>
          <w:tcPr>
            <w:tcW w:w="1260" w:type="dxa"/>
            <w:vAlign w:val="bottom"/>
          </w:tcPr>
          <w:p w:rsidR="00500BB6" w:rsidRPr="00F402D9" w:rsidRDefault="00500BB6" w:rsidP="00500BB6">
            <w:pPr>
              <w:spacing w:before="100" w:beforeAutospacing="1" w:after="100" w:afterAutospacing="1" w:line="192" w:lineRule="atLeast"/>
              <w:jc w:val="right"/>
              <w:rPr>
                <w:rFonts w:cs="Calibri"/>
                <w:bCs/>
                <w:sz w:val="20"/>
                <w:szCs w:val="20"/>
              </w:rPr>
            </w:pPr>
            <w:r w:rsidRPr="00F402D9">
              <w:rPr>
                <w:rFonts w:cs="Calibri"/>
                <w:bCs/>
                <w:sz w:val="20"/>
                <w:szCs w:val="20"/>
              </w:rPr>
              <w:t>9</w:t>
            </w:r>
          </w:p>
        </w:tc>
      </w:tr>
      <w:tr w:rsidR="00500BB6" w:rsidRPr="004C5BE2" w:rsidTr="00500BB6">
        <w:trPr>
          <w:trHeight w:val="302"/>
        </w:trPr>
        <w:tc>
          <w:tcPr>
            <w:tcW w:w="2898" w:type="dxa"/>
            <w:shd w:val="clear" w:color="auto" w:fill="auto"/>
          </w:tcPr>
          <w:p w:rsidR="00500BB6" w:rsidRPr="000B1F8E" w:rsidRDefault="00500BB6" w:rsidP="00500BB6">
            <w:pPr>
              <w:spacing w:before="100" w:beforeAutospacing="1" w:after="100" w:afterAutospacing="1" w:line="192" w:lineRule="atLeast"/>
              <w:rPr>
                <w:rFonts w:cs="Calibri"/>
                <w:b/>
                <w:bCs/>
                <w:i/>
              </w:rPr>
            </w:pPr>
            <w:r w:rsidRPr="000B1F8E">
              <w:rPr>
                <w:rFonts w:cs="Calibri"/>
                <w:b/>
                <w:bCs/>
                <w:i/>
              </w:rPr>
              <w:t>Reference Questions by Type</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rPr>
            </w:pPr>
          </w:p>
        </w:tc>
        <w:tc>
          <w:tcPr>
            <w:tcW w:w="1260" w:type="dxa"/>
            <w:vAlign w:val="bottom"/>
          </w:tcPr>
          <w:p w:rsidR="00500BB6" w:rsidRDefault="00500BB6" w:rsidP="00500BB6">
            <w:pPr>
              <w:spacing w:before="100" w:beforeAutospacing="1" w:after="100" w:afterAutospacing="1" w:line="192" w:lineRule="atLeast"/>
              <w:jc w:val="right"/>
              <w:rPr>
                <w:rFonts w:cs="Calibri"/>
                <w:bCs/>
              </w:rPr>
            </w:pPr>
          </w:p>
        </w:tc>
      </w:tr>
      <w:tr w:rsidR="00500BB6" w:rsidRPr="004C5BE2" w:rsidTr="00500BB6">
        <w:trPr>
          <w:trHeight w:val="302"/>
        </w:trPr>
        <w:tc>
          <w:tcPr>
            <w:tcW w:w="2898" w:type="dxa"/>
            <w:shd w:val="clear" w:color="auto" w:fill="auto"/>
          </w:tcPr>
          <w:p w:rsidR="00500BB6" w:rsidRPr="00A44916" w:rsidRDefault="003F7820" w:rsidP="003F7820">
            <w:pPr>
              <w:spacing w:before="100" w:beforeAutospacing="1" w:after="100" w:afterAutospacing="1" w:line="192" w:lineRule="atLeast"/>
              <w:rPr>
                <w:rFonts w:cs="Calibri"/>
                <w:b/>
                <w:bCs/>
                <w:sz w:val="20"/>
                <w:szCs w:val="20"/>
              </w:rPr>
            </w:pPr>
            <w:r>
              <w:rPr>
                <w:rFonts w:cs="Calibri"/>
                <w:b/>
                <w:bCs/>
                <w:sz w:val="20"/>
                <w:szCs w:val="20"/>
              </w:rPr>
              <w:t xml:space="preserve">  </w:t>
            </w:r>
            <w:r w:rsidR="00500BB6" w:rsidRPr="00A44916">
              <w:rPr>
                <w:rFonts w:cs="Calibri"/>
                <w:b/>
                <w:bCs/>
                <w:sz w:val="20"/>
                <w:szCs w:val="20"/>
              </w:rPr>
              <w:t>Catalog Lookup</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607</w:t>
            </w:r>
          </w:p>
        </w:tc>
        <w:tc>
          <w:tcPr>
            <w:tcW w:w="1260" w:type="dxa"/>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743</w:t>
            </w:r>
          </w:p>
        </w:tc>
      </w:tr>
      <w:tr w:rsidR="00500BB6" w:rsidRPr="004C5BE2" w:rsidTr="00500BB6">
        <w:trPr>
          <w:trHeight w:val="302"/>
        </w:trPr>
        <w:tc>
          <w:tcPr>
            <w:tcW w:w="2898" w:type="dxa"/>
            <w:shd w:val="clear" w:color="auto" w:fill="auto"/>
          </w:tcPr>
          <w:p w:rsidR="00500BB6" w:rsidRPr="00A44916" w:rsidRDefault="003F7820" w:rsidP="00500BB6">
            <w:pPr>
              <w:spacing w:before="100" w:beforeAutospacing="1" w:after="100" w:afterAutospacing="1" w:line="192" w:lineRule="atLeast"/>
              <w:rPr>
                <w:rFonts w:cs="Calibri"/>
                <w:b/>
                <w:bCs/>
                <w:sz w:val="20"/>
                <w:szCs w:val="20"/>
              </w:rPr>
            </w:pPr>
            <w:r>
              <w:rPr>
                <w:rFonts w:cs="Calibri"/>
                <w:b/>
                <w:bCs/>
                <w:sz w:val="20"/>
                <w:szCs w:val="20"/>
              </w:rPr>
              <w:t xml:space="preserve">  </w:t>
            </w:r>
            <w:r w:rsidR="00500BB6" w:rsidRPr="00A44916">
              <w:rPr>
                <w:rFonts w:cs="Calibri"/>
                <w:b/>
                <w:bCs/>
                <w:sz w:val="20"/>
                <w:szCs w:val="20"/>
              </w:rPr>
              <w:t>Computer/Software Questions</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410</w:t>
            </w:r>
          </w:p>
        </w:tc>
        <w:tc>
          <w:tcPr>
            <w:tcW w:w="1260" w:type="dxa"/>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415</w:t>
            </w:r>
          </w:p>
        </w:tc>
      </w:tr>
      <w:tr w:rsidR="00500BB6" w:rsidRPr="004C5BE2" w:rsidTr="00500BB6">
        <w:trPr>
          <w:trHeight w:val="302"/>
        </w:trPr>
        <w:tc>
          <w:tcPr>
            <w:tcW w:w="2898" w:type="dxa"/>
            <w:shd w:val="clear" w:color="auto" w:fill="auto"/>
          </w:tcPr>
          <w:p w:rsidR="00500BB6" w:rsidRPr="00A44916" w:rsidRDefault="003F7820" w:rsidP="00500BB6">
            <w:pPr>
              <w:spacing w:before="100" w:beforeAutospacing="1" w:after="100" w:afterAutospacing="1" w:line="192" w:lineRule="atLeast"/>
              <w:rPr>
                <w:rFonts w:cs="Calibri"/>
                <w:b/>
                <w:bCs/>
                <w:sz w:val="20"/>
                <w:szCs w:val="20"/>
              </w:rPr>
            </w:pPr>
            <w:r>
              <w:rPr>
                <w:rFonts w:cs="Calibri"/>
                <w:b/>
                <w:bCs/>
                <w:sz w:val="20"/>
                <w:szCs w:val="20"/>
              </w:rPr>
              <w:t xml:space="preserve">  </w:t>
            </w:r>
            <w:r w:rsidR="00500BB6" w:rsidRPr="00A44916">
              <w:rPr>
                <w:rFonts w:cs="Calibri"/>
                <w:b/>
                <w:bCs/>
                <w:sz w:val="20"/>
                <w:szCs w:val="20"/>
              </w:rPr>
              <w:t>Directional</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426</w:t>
            </w:r>
          </w:p>
        </w:tc>
        <w:tc>
          <w:tcPr>
            <w:tcW w:w="1260" w:type="dxa"/>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335</w:t>
            </w:r>
          </w:p>
        </w:tc>
      </w:tr>
      <w:tr w:rsidR="00500BB6" w:rsidRPr="004C5BE2" w:rsidTr="00500BB6">
        <w:trPr>
          <w:trHeight w:val="302"/>
        </w:trPr>
        <w:tc>
          <w:tcPr>
            <w:tcW w:w="2898" w:type="dxa"/>
            <w:shd w:val="clear" w:color="auto" w:fill="auto"/>
          </w:tcPr>
          <w:p w:rsidR="00500BB6" w:rsidRPr="00A44916" w:rsidRDefault="003F7820" w:rsidP="00500BB6">
            <w:pPr>
              <w:spacing w:before="100" w:beforeAutospacing="1" w:after="100" w:afterAutospacing="1" w:line="192" w:lineRule="atLeast"/>
              <w:rPr>
                <w:rFonts w:cs="Calibri"/>
                <w:b/>
                <w:bCs/>
                <w:sz w:val="20"/>
                <w:szCs w:val="20"/>
              </w:rPr>
            </w:pPr>
            <w:r>
              <w:rPr>
                <w:rFonts w:cs="Calibri"/>
                <w:b/>
                <w:bCs/>
                <w:sz w:val="20"/>
                <w:szCs w:val="20"/>
              </w:rPr>
              <w:t xml:space="preserve">   </w:t>
            </w:r>
            <w:r w:rsidR="00500BB6" w:rsidRPr="00A44916">
              <w:rPr>
                <w:rFonts w:cs="Calibri"/>
                <w:b/>
                <w:bCs/>
                <w:sz w:val="20"/>
                <w:szCs w:val="20"/>
              </w:rPr>
              <w:t>Other</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415</w:t>
            </w:r>
          </w:p>
        </w:tc>
        <w:tc>
          <w:tcPr>
            <w:tcW w:w="1260" w:type="dxa"/>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461</w:t>
            </w:r>
          </w:p>
        </w:tc>
      </w:tr>
      <w:tr w:rsidR="00500BB6" w:rsidRPr="004C5BE2" w:rsidTr="00500BB6">
        <w:trPr>
          <w:trHeight w:val="302"/>
        </w:trPr>
        <w:tc>
          <w:tcPr>
            <w:tcW w:w="2898" w:type="dxa"/>
            <w:shd w:val="clear" w:color="auto" w:fill="auto"/>
          </w:tcPr>
          <w:p w:rsidR="00500BB6" w:rsidRPr="00A44916" w:rsidRDefault="00500BB6" w:rsidP="00500BB6">
            <w:pPr>
              <w:spacing w:before="100" w:beforeAutospacing="1" w:after="100" w:afterAutospacing="1" w:line="192" w:lineRule="atLeast"/>
              <w:rPr>
                <w:rFonts w:cs="Calibri"/>
                <w:b/>
                <w:bCs/>
              </w:rPr>
            </w:pPr>
            <w:r w:rsidRPr="00A44916">
              <w:rPr>
                <w:rFonts w:cs="Calibri"/>
                <w:b/>
                <w:bCs/>
              </w:rPr>
              <w:t>In-Depth Reference</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1212</w:t>
            </w:r>
          </w:p>
        </w:tc>
        <w:tc>
          <w:tcPr>
            <w:tcW w:w="1260" w:type="dxa"/>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1416</w:t>
            </w:r>
          </w:p>
        </w:tc>
      </w:tr>
      <w:tr w:rsidR="00500BB6" w:rsidRPr="004C5BE2" w:rsidTr="00500BB6">
        <w:trPr>
          <w:trHeight w:val="302"/>
        </w:trPr>
        <w:tc>
          <w:tcPr>
            <w:tcW w:w="2898" w:type="dxa"/>
            <w:shd w:val="clear" w:color="auto" w:fill="auto"/>
          </w:tcPr>
          <w:p w:rsidR="00500BB6" w:rsidRPr="00A44916" w:rsidRDefault="00500BB6" w:rsidP="00500BB6">
            <w:pPr>
              <w:spacing w:before="100" w:beforeAutospacing="1" w:after="100" w:afterAutospacing="1" w:line="192" w:lineRule="atLeast"/>
              <w:rPr>
                <w:rFonts w:cs="Calibri"/>
                <w:b/>
                <w:bCs/>
              </w:rPr>
            </w:pPr>
            <w:r w:rsidRPr="00A44916">
              <w:rPr>
                <w:rFonts w:cs="Calibri"/>
                <w:b/>
                <w:bCs/>
              </w:rPr>
              <w:t>Quick Reference</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1536</w:t>
            </w:r>
          </w:p>
        </w:tc>
        <w:tc>
          <w:tcPr>
            <w:tcW w:w="1260" w:type="dxa"/>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1617</w:t>
            </w:r>
          </w:p>
        </w:tc>
      </w:tr>
      <w:tr w:rsidR="00500BB6" w:rsidRPr="004C5BE2" w:rsidTr="00500BB6">
        <w:trPr>
          <w:trHeight w:val="302"/>
        </w:trPr>
        <w:tc>
          <w:tcPr>
            <w:tcW w:w="2898" w:type="dxa"/>
            <w:shd w:val="clear" w:color="auto" w:fill="auto"/>
          </w:tcPr>
          <w:p w:rsidR="00500BB6" w:rsidRPr="00A44916" w:rsidRDefault="00500BB6" w:rsidP="00500BB6">
            <w:pPr>
              <w:spacing w:before="100" w:beforeAutospacing="1" w:after="100" w:afterAutospacing="1" w:line="192" w:lineRule="atLeast"/>
              <w:rPr>
                <w:rFonts w:cs="Calibri"/>
                <w:b/>
                <w:bCs/>
              </w:rPr>
            </w:pPr>
            <w:r w:rsidRPr="00A44916">
              <w:rPr>
                <w:rFonts w:cs="Calibri"/>
                <w:b/>
                <w:bCs/>
              </w:rPr>
              <w:t>Textbook Questions</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262</w:t>
            </w:r>
          </w:p>
        </w:tc>
        <w:tc>
          <w:tcPr>
            <w:tcW w:w="1260" w:type="dxa"/>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275</w:t>
            </w:r>
          </w:p>
        </w:tc>
      </w:tr>
      <w:tr w:rsidR="00500BB6" w:rsidRPr="004C5BE2" w:rsidTr="00500BB6">
        <w:trPr>
          <w:trHeight w:val="302"/>
        </w:trPr>
        <w:tc>
          <w:tcPr>
            <w:tcW w:w="2898" w:type="dxa"/>
            <w:shd w:val="clear" w:color="auto" w:fill="auto"/>
          </w:tcPr>
          <w:p w:rsidR="00500BB6" w:rsidRPr="0098093F" w:rsidRDefault="00500BB6" w:rsidP="00500BB6">
            <w:pPr>
              <w:spacing w:before="100" w:beforeAutospacing="1" w:after="100" w:afterAutospacing="1" w:line="192" w:lineRule="atLeast"/>
              <w:rPr>
                <w:rFonts w:cs="Calibri"/>
                <w:b/>
                <w:bCs/>
              </w:rPr>
            </w:pPr>
            <w:r w:rsidRPr="0098093F">
              <w:rPr>
                <w:rFonts w:cs="Calibri"/>
                <w:b/>
                <w:bCs/>
              </w:rPr>
              <w:t>Total</w:t>
            </w:r>
          </w:p>
        </w:tc>
        <w:tc>
          <w:tcPr>
            <w:tcW w:w="990" w:type="dxa"/>
            <w:shd w:val="clear" w:color="auto" w:fill="auto"/>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4868</w:t>
            </w:r>
          </w:p>
        </w:tc>
        <w:tc>
          <w:tcPr>
            <w:tcW w:w="1260" w:type="dxa"/>
            <w:vAlign w:val="bottom"/>
          </w:tcPr>
          <w:p w:rsidR="00500BB6" w:rsidRPr="0098093F" w:rsidRDefault="00500BB6" w:rsidP="00500BB6">
            <w:pPr>
              <w:spacing w:before="100" w:beforeAutospacing="1" w:after="100" w:afterAutospacing="1" w:line="192" w:lineRule="atLeast"/>
              <w:jc w:val="right"/>
              <w:rPr>
                <w:rFonts w:cs="Calibri"/>
                <w:bCs/>
              </w:rPr>
            </w:pPr>
            <w:r>
              <w:rPr>
                <w:rFonts w:cs="Calibri"/>
                <w:bCs/>
              </w:rPr>
              <w:t>5262</w:t>
            </w:r>
          </w:p>
        </w:tc>
      </w:tr>
    </w:tbl>
    <w:p w:rsidR="00B40B39" w:rsidRDefault="00B40B39" w:rsidP="00B40B39"/>
    <w:p w:rsidR="00500BB6" w:rsidRDefault="00500BB6" w:rsidP="00B40B39"/>
    <w:p w:rsidR="00500BB6" w:rsidRDefault="00500BB6" w:rsidP="00B40B39"/>
    <w:p w:rsidR="00500BB6" w:rsidRDefault="00500BB6" w:rsidP="00B40B39"/>
    <w:p w:rsidR="00500BB6" w:rsidRDefault="00500BB6" w:rsidP="00B40B39"/>
    <w:p w:rsidR="00500BB6" w:rsidRDefault="00500BB6" w:rsidP="00B40B39"/>
    <w:p w:rsidR="00500BB6" w:rsidRDefault="00500BB6" w:rsidP="00B40B39"/>
    <w:p w:rsidR="00500BB6" w:rsidRDefault="00500BB6" w:rsidP="00B40B39"/>
    <w:p w:rsidR="00500BB6" w:rsidRDefault="00500BB6" w:rsidP="00B40B39"/>
    <w:p w:rsidR="00500BB6" w:rsidRDefault="00500BB6" w:rsidP="00B40B39"/>
    <w:p w:rsidR="00500BB6" w:rsidRDefault="00500BB6" w:rsidP="00B40B39"/>
    <w:p w:rsidR="00500BB6" w:rsidRDefault="00500BB6" w:rsidP="00B40B39"/>
    <w:p w:rsidR="00500BB6" w:rsidRDefault="00500BB6" w:rsidP="00B40B39"/>
    <w:p w:rsidR="00500BB6" w:rsidRDefault="00500BB6" w:rsidP="00B40B39"/>
    <w:p w:rsidR="00B40B39" w:rsidRPr="00B40B39" w:rsidRDefault="00B40B39" w:rsidP="00B40B39"/>
    <w:p w:rsidR="00B40B39" w:rsidRPr="00B40B39" w:rsidRDefault="00B40B39" w:rsidP="00B40B39"/>
    <w:p w:rsidR="00500BB6" w:rsidRDefault="00500BB6" w:rsidP="00B40B39">
      <w:pPr>
        <w:tabs>
          <w:tab w:val="left" w:pos="2835"/>
        </w:tabs>
      </w:pPr>
    </w:p>
    <w:tbl>
      <w:tblPr>
        <w:tblpPr w:leftFromText="189" w:rightFromText="189" w:bottomFromText="200" w:vertAnchor="text" w:horzAnchor="margin" w:tblpXSpec="center" w:tblpY="851"/>
        <w:tblW w:w="11222" w:type="dxa"/>
        <w:tblLook w:val="04A0" w:firstRow="1" w:lastRow="0" w:firstColumn="1" w:lastColumn="0" w:noHBand="0" w:noVBand="1"/>
      </w:tblPr>
      <w:tblGrid>
        <w:gridCol w:w="1303"/>
        <w:gridCol w:w="714"/>
        <w:gridCol w:w="704"/>
        <w:gridCol w:w="737"/>
        <w:gridCol w:w="663"/>
        <w:gridCol w:w="715"/>
        <w:gridCol w:w="789"/>
        <w:gridCol w:w="789"/>
        <w:gridCol w:w="789"/>
        <w:gridCol w:w="789"/>
        <w:gridCol w:w="789"/>
        <w:gridCol w:w="789"/>
        <w:gridCol w:w="789"/>
        <w:gridCol w:w="863"/>
      </w:tblGrid>
      <w:tr w:rsidR="00500BB6" w:rsidTr="00500BB6">
        <w:trPr>
          <w:trHeight w:val="322"/>
        </w:trPr>
        <w:tc>
          <w:tcPr>
            <w:tcW w:w="1303" w:type="dxa"/>
            <w:tcBorders>
              <w:top w:val="single" w:sz="8" w:space="0" w:color="auto"/>
              <w:left w:val="single" w:sz="8" w:space="0" w:color="auto"/>
              <w:bottom w:val="single" w:sz="8" w:space="0" w:color="auto"/>
              <w:right w:val="single" w:sz="8" w:space="0" w:color="auto"/>
            </w:tcBorders>
            <w:noWrap/>
            <w:vAlign w:val="bottom"/>
            <w:hideMark/>
          </w:tcPr>
          <w:p w:rsidR="00500BB6" w:rsidRDefault="00500BB6" w:rsidP="00500BB6">
            <w:pPr>
              <w:rPr>
                <w:rFonts w:ascii="Times New Roman" w:hAnsi="Times New Roman"/>
                <w:sz w:val="24"/>
                <w:szCs w:val="24"/>
              </w:rPr>
            </w:pPr>
            <w:r>
              <w:rPr>
                <w:rFonts w:cs="Calibri"/>
                <w:b/>
                <w:bCs/>
                <w:color w:val="000000"/>
              </w:rPr>
              <w:t>Instruction Session Attendees</w:t>
            </w:r>
          </w:p>
        </w:tc>
        <w:tc>
          <w:tcPr>
            <w:tcW w:w="714"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JULY</w:t>
            </w:r>
          </w:p>
        </w:tc>
        <w:tc>
          <w:tcPr>
            <w:tcW w:w="704"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AUG</w:t>
            </w:r>
          </w:p>
        </w:tc>
        <w:tc>
          <w:tcPr>
            <w:tcW w:w="737"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SEPT</w:t>
            </w:r>
          </w:p>
        </w:tc>
        <w:tc>
          <w:tcPr>
            <w:tcW w:w="663"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OCT</w:t>
            </w:r>
          </w:p>
        </w:tc>
        <w:tc>
          <w:tcPr>
            <w:tcW w:w="715"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NOV</w:t>
            </w:r>
          </w:p>
        </w:tc>
        <w:tc>
          <w:tcPr>
            <w:tcW w:w="789"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DEC</w:t>
            </w:r>
          </w:p>
        </w:tc>
        <w:tc>
          <w:tcPr>
            <w:tcW w:w="789"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JAN</w:t>
            </w:r>
          </w:p>
        </w:tc>
        <w:tc>
          <w:tcPr>
            <w:tcW w:w="789"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FEB</w:t>
            </w:r>
          </w:p>
        </w:tc>
        <w:tc>
          <w:tcPr>
            <w:tcW w:w="789"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MAR</w:t>
            </w:r>
          </w:p>
        </w:tc>
        <w:tc>
          <w:tcPr>
            <w:tcW w:w="789"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APR</w:t>
            </w:r>
          </w:p>
        </w:tc>
        <w:tc>
          <w:tcPr>
            <w:tcW w:w="789"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MAY</w:t>
            </w:r>
          </w:p>
        </w:tc>
        <w:tc>
          <w:tcPr>
            <w:tcW w:w="789"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JUNE</w:t>
            </w:r>
          </w:p>
        </w:tc>
        <w:tc>
          <w:tcPr>
            <w:tcW w:w="863" w:type="dxa"/>
            <w:tcBorders>
              <w:top w:val="single" w:sz="8" w:space="0" w:color="auto"/>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b/>
                <w:bCs/>
              </w:rPr>
              <w:t>TOTAL</w:t>
            </w:r>
          </w:p>
        </w:tc>
      </w:tr>
      <w:tr w:rsidR="00500BB6" w:rsidTr="00500BB6">
        <w:trPr>
          <w:trHeight w:val="322"/>
        </w:trPr>
        <w:tc>
          <w:tcPr>
            <w:tcW w:w="1303" w:type="dxa"/>
            <w:tcBorders>
              <w:top w:val="nil"/>
              <w:left w:val="single" w:sz="8" w:space="0" w:color="auto"/>
              <w:bottom w:val="single" w:sz="8" w:space="0" w:color="auto"/>
              <w:right w:val="single" w:sz="8" w:space="0" w:color="auto"/>
            </w:tcBorders>
            <w:vAlign w:val="bottom"/>
            <w:hideMark/>
          </w:tcPr>
          <w:p w:rsidR="00500BB6" w:rsidRDefault="00500BB6" w:rsidP="00500BB6">
            <w:pPr>
              <w:rPr>
                <w:rFonts w:cs="Calibri"/>
                <w:b/>
                <w:bCs/>
                <w:color w:val="000000"/>
              </w:rPr>
            </w:pPr>
            <w:r>
              <w:rPr>
                <w:rFonts w:cs="Calibri"/>
                <w:b/>
                <w:bCs/>
                <w:color w:val="000000"/>
              </w:rPr>
              <w:t>FY2013</w:t>
            </w:r>
          </w:p>
        </w:tc>
        <w:tc>
          <w:tcPr>
            <w:tcW w:w="714"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134</w:t>
            </w:r>
          </w:p>
        </w:tc>
        <w:tc>
          <w:tcPr>
            <w:tcW w:w="704"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773</w:t>
            </w:r>
          </w:p>
        </w:tc>
        <w:tc>
          <w:tcPr>
            <w:tcW w:w="737"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1039</w:t>
            </w:r>
          </w:p>
        </w:tc>
        <w:tc>
          <w:tcPr>
            <w:tcW w:w="663"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1612</w:t>
            </w:r>
          </w:p>
        </w:tc>
        <w:tc>
          <w:tcPr>
            <w:tcW w:w="715"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530</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0</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568</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785</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1047</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158</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0</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322</w:t>
            </w:r>
          </w:p>
        </w:tc>
        <w:tc>
          <w:tcPr>
            <w:tcW w:w="863" w:type="dxa"/>
            <w:tcBorders>
              <w:top w:val="nil"/>
              <w:left w:val="nil"/>
              <w:bottom w:val="single" w:sz="8" w:space="0" w:color="auto"/>
              <w:right w:val="single" w:sz="8" w:space="0" w:color="auto"/>
            </w:tcBorders>
            <w:noWrap/>
            <w:vAlign w:val="bottom"/>
            <w:hideMark/>
          </w:tcPr>
          <w:p w:rsidR="00500BB6" w:rsidRDefault="00500BB6" w:rsidP="00500BB6">
            <w:pPr>
              <w:jc w:val="right"/>
              <w:rPr>
                <w:rFonts w:cs="Calibri"/>
                <w:color w:val="000000"/>
              </w:rPr>
            </w:pPr>
            <w:r>
              <w:rPr>
                <w:rFonts w:cs="Calibri"/>
                <w:color w:val="000000"/>
              </w:rPr>
              <w:t>6968</w:t>
            </w:r>
          </w:p>
        </w:tc>
      </w:tr>
      <w:tr w:rsidR="00500BB6" w:rsidTr="00500BB6">
        <w:trPr>
          <w:trHeight w:val="322"/>
        </w:trPr>
        <w:tc>
          <w:tcPr>
            <w:tcW w:w="1303" w:type="dxa"/>
            <w:tcBorders>
              <w:top w:val="nil"/>
              <w:left w:val="single" w:sz="8" w:space="0" w:color="auto"/>
              <w:bottom w:val="single" w:sz="8" w:space="0" w:color="auto"/>
              <w:right w:val="single" w:sz="8" w:space="0" w:color="auto"/>
            </w:tcBorders>
            <w:vAlign w:val="bottom"/>
            <w:hideMark/>
          </w:tcPr>
          <w:p w:rsidR="00500BB6" w:rsidRDefault="00500BB6" w:rsidP="00500BB6">
            <w:pPr>
              <w:rPr>
                <w:rFonts w:ascii="Times New Roman" w:hAnsi="Times New Roman"/>
                <w:sz w:val="24"/>
                <w:szCs w:val="24"/>
              </w:rPr>
            </w:pPr>
            <w:r>
              <w:rPr>
                <w:rFonts w:cs="Calibri"/>
                <w:b/>
                <w:bCs/>
                <w:color w:val="000000"/>
              </w:rPr>
              <w:t>FY2012</w:t>
            </w:r>
          </w:p>
        </w:tc>
        <w:tc>
          <w:tcPr>
            <w:tcW w:w="714"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47</w:t>
            </w:r>
          </w:p>
        </w:tc>
        <w:tc>
          <w:tcPr>
            <w:tcW w:w="704"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152</w:t>
            </w:r>
          </w:p>
        </w:tc>
        <w:tc>
          <w:tcPr>
            <w:tcW w:w="737"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505</w:t>
            </w:r>
          </w:p>
        </w:tc>
        <w:tc>
          <w:tcPr>
            <w:tcW w:w="663"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801</w:t>
            </w:r>
          </w:p>
        </w:tc>
        <w:tc>
          <w:tcPr>
            <w:tcW w:w="715"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391</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0</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393</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696</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761</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250</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52</w:t>
            </w:r>
          </w:p>
        </w:tc>
        <w:tc>
          <w:tcPr>
            <w:tcW w:w="789"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162</w:t>
            </w:r>
          </w:p>
        </w:tc>
        <w:tc>
          <w:tcPr>
            <w:tcW w:w="863" w:type="dxa"/>
            <w:tcBorders>
              <w:top w:val="nil"/>
              <w:left w:val="nil"/>
              <w:bottom w:val="single" w:sz="8" w:space="0" w:color="auto"/>
              <w:right w:val="single" w:sz="8" w:space="0" w:color="auto"/>
            </w:tcBorders>
            <w:noWrap/>
            <w:vAlign w:val="bottom"/>
            <w:hideMark/>
          </w:tcPr>
          <w:p w:rsidR="00500BB6" w:rsidRDefault="00500BB6" w:rsidP="00500BB6">
            <w:pPr>
              <w:jc w:val="right"/>
              <w:rPr>
                <w:rFonts w:ascii="Times New Roman" w:hAnsi="Times New Roman"/>
                <w:sz w:val="24"/>
                <w:szCs w:val="24"/>
              </w:rPr>
            </w:pPr>
            <w:r>
              <w:rPr>
                <w:rFonts w:cs="Calibri"/>
                <w:color w:val="000000"/>
              </w:rPr>
              <w:t>4210</w:t>
            </w:r>
          </w:p>
        </w:tc>
      </w:tr>
    </w:tbl>
    <w:p w:rsidR="00500BB6" w:rsidRDefault="00500BB6" w:rsidP="00536116"/>
    <w:sectPr w:rsidR="00500BB6" w:rsidSect="00B9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 Gothic Std Blac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725"/>
    <w:multiLevelType w:val="hybridMultilevel"/>
    <w:tmpl w:val="90E2C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FD2AAF"/>
    <w:multiLevelType w:val="hybridMultilevel"/>
    <w:tmpl w:val="8688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15653"/>
    <w:multiLevelType w:val="hybridMultilevel"/>
    <w:tmpl w:val="0F94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40711"/>
    <w:multiLevelType w:val="hybridMultilevel"/>
    <w:tmpl w:val="F5101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8014AA"/>
    <w:multiLevelType w:val="hybridMultilevel"/>
    <w:tmpl w:val="ED0E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C17F1"/>
    <w:multiLevelType w:val="hybridMultilevel"/>
    <w:tmpl w:val="2010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672FD6"/>
    <w:multiLevelType w:val="hybridMultilevel"/>
    <w:tmpl w:val="C63C7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04DFB"/>
    <w:multiLevelType w:val="hybridMultilevel"/>
    <w:tmpl w:val="C1DA5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203BD9"/>
    <w:multiLevelType w:val="hybridMultilevel"/>
    <w:tmpl w:val="44969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C662EE"/>
    <w:multiLevelType w:val="hybridMultilevel"/>
    <w:tmpl w:val="449A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9"/>
  </w:num>
  <w:num w:numId="5">
    <w:abstractNumId w:val="0"/>
  </w:num>
  <w:num w:numId="6">
    <w:abstractNumId w:val="6"/>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1D6B"/>
    <w:rsid w:val="00206702"/>
    <w:rsid w:val="00236B70"/>
    <w:rsid w:val="00241D6B"/>
    <w:rsid w:val="00247C3B"/>
    <w:rsid w:val="002745A3"/>
    <w:rsid w:val="00346DC5"/>
    <w:rsid w:val="00365312"/>
    <w:rsid w:val="003F7820"/>
    <w:rsid w:val="00421BD5"/>
    <w:rsid w:val="00500BB6"/>
    <w:rsid w:val="00514FA7"/>
    <w:rsid w:val="00524F54"/>
    <w:rsid w:val="00536116"/>
    <w:rsid w:val="00556AD0"/>
    <w:rsid w:val="005A633D"/>
    <w:rsid w:val="005C6CAC"/>
    <w:rsid w:val="005D44A1"/>
    <w:rsid w:val="005E191B"/>
    <w:rsid w:val="0067439B"/>
    <w:rsid w:val="006847AD"/>
    <w:rsid w:val="006C72F9"/>
    <w:rsid w:val="006E6985"/>
    <w:rsid w:val="007B0DA9"/>
    <w:rsid w:val="007D7F3F"/>
    <w:rsid w:val="008009AA"/>
    <w:rsid w:val="00803BFD"/>
    <w:rsid w:val="0083660E"/>
    <w:rsid w:val="009A68E5"/>
    <w:rsid w:val="00A92FF8"/>
    <w:rsid w:val="00AD130D"/>
    <w:rsid w:val="00B40B39"/>
    <w:rsid w:val="00B76534"/>
    <w:rsid w:val="00B90D77"/>
    <w:rsid w:val="00C00322"/>
    <w:rsid w:val="00C52FFA"/>
    <w:rsid w:val="00D67CD4"/>
    <w:rsid w:val="00E40C53"/>
    <w:rsid w:val="00ED0797"/>
    <w:rsid w:val="00FD74EC"/>
    <w:rsid w:val="00FF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6B"/>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797"/>
    <w:pPr>
      <w:spacing w:before="100" w:beforeAutospacing="1" w:after="100" w:afterAutospacing="1"/>
    </w:pPr>
    <w:rPr>
      <w:rFonts w:ascii="Times New Roman" w:eastAsia="Times New Roman" w:hAnsi="Times New Roman"/>
      <w:sz w:val="24"/>
      <w:szCs w:val="24"/>
    </w:rPr>
  </w:style>
  <w:style w:type="paragraph" w:customStyle="1" w:styleId="Normal1">
    <w:name w:val="Normal1"/>
    <w:basedOn w:val="Normal"/>
    <w:rsid w:val="00ED0797"/>
    <w:pPr>
      <w:spacing w:before="100" w:beforeAutospacing="1" w:after="100" w:afterAutospacing="1"/>
    </w:pPr>
    <w:rPr>
      <w:rFonts w:ascii="Times New Roman" w:eastAsia="Times New Roman" w:hAnsi="Times New Roman"/>
      <w:sz w:val="24"/>
      <w:szCs w:val="24"/>
    </w:rPr>
  </w:style>
  <w:style w:type="character" w:customStyle="1" w:styleId="normalchar">
    <w:name w:val="normal__char"/>
    <w:rsid w:val="00ED0797"/>
  </w:style>
  <w:style w:type="character" w:customStyle="1" w:styleId="list0020paragraphchar">
    <w:name w:val="list_0020paragraph__char"/>
    <w:rsid w:val="00ED0797"/>
  </w:style>
  <w:style w:type="paragraph" w:styleId="NoSpacing">
    <w:name w:val="No Spacing"/>
    <w:link w:val="NoSpacingChar"/>
    <w:uiPriority w:val="1"/>
    <w:qFormat/>
    <w:rsid w:val="00C52FFA"/>
    <w:rPr>
      <w:rFonts w:ascii="Calibri" w:hAnsi="Calibri"/>
      <w:sz w:val="22"/>
      <w:szCs w:val="22"/>
    </w:rPr>
  </w:style>
  <w:style w:type="character" w:customStyle="1" w:styleId="NoSpacingChar">
    <w:name w:val="No Spacing Char"/>
    <w:basedOn w:val="DefaultParagraphFont"/>
    <w:link w:val="NoSpacing"/>
    <w:uiPriority w:val="1"/>
    <w:rsid w:val="00C52FF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051F7-BC84-40AF-8ECB-66D5D3C6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Georgia Gwinnett College</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Ruffin, Jr.</dc:creator>
  <cp:lastModifiedBy>Catherine J. Downey</cp:lastModifiedBy>
  <cp:revision>2</cp:revision>
  <cp:lastPrinted>2013-09-27T15:24:00Z</cp:lastPrinted>
  <dcterms:created xsi:type="dcterms:W3CDTF">2014-10-14T19:30:00Z</dcterms:created>
  <dcterms:modified xsi:type="dcterms:W3CDTF">2014-10-14T19:30:00Z</dcterms:modified>
</cp:coreProperties>
</file>