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A91753">
        <w:trPr>
          <w:trHeight w:val="2880"/>
          <w:jc w:val="center"/>
        </w:trPr>
        <w:tc>
          <w:tcPr>
            <w:tcW w:w="5000" w:type="pct"/>
          </w:tcPr>
          <w:p w:rsidR="00A91753" w:rsidRDefault="00A91753">
            <w:pPr>
              <w:pStyle w:val="NoSpacing"/>
              <w:jc w:val="center"/>
              <w:rPr>
                <w:rFonts w:ascii="Cambria" w:hAnsi="Cambria"/>
                <w:caps/>
              </w:rPr>
            </w:pPr>
            <w:r>
              <w:rPr>
                <w:rFonts w:ascii="Cambria" w:hAnsi="Cambria"/>
                <w:caps/>
              </w:rPr>
              <w:t>Georgia Gwinnett College Library</w:t>
            </w:r>
          </w:p>
        </w:tc>
      </w:tr>
      <w:tr w:rsidR="00A91753">
        <w:trPr>
          <w:trHeight w:val="1440"/>
          <w:jc w:val="center"/>
        </w:trPr>
        <w:tc>
          <w:tcPr>
            <w:tcW w:w="5000" w:type="pct"/>
            <w:tcBorders>
              <w:bottom w:val="single" w:sz="4" w:space="0" w:color="4F81BD"/>
            </w:tcBorders>
            <w:vAlign w:val="center"/>
          </w:tcPr>
          <w:p w:rsidR="00A91753" w:rsidRDefault="00A91753" w:rsidP="00A91753">
            <w:pPr>
              <w:pStyle w:val="NoSpacing"/>
              <w:jc w:val="center"/>
              <w:rPr>
                <w:rFonts w:ascii="Cambria" w:hAnsi="Cambria"/>
                <w:sz w:val="80"/>
                <w:szCs w:val="80"/>
              </w:rPr>
            </w:pPr>
            <w:r>
              <w:rPr>
                <w:rFonts w:ascii="Cambria" w:hAnsi="Cambria"/>
                <w:sz w:val="80"/>
                <w:szCs w:val="80"/>
              </w:rPr>
              <w:t>Annual Report</w:t>
            </w:r>
          </w:p>
        </w:tc>
      </w:tr>
      <w:tr w:rsidR="00A91753">
        <w:trPr>
          <w:trHeight w:val="720"/>
          <w:jc w:val="center"/>
        </w:trPr>
        <w:tc>
          <w:tcPr>
            <w:tcW w:w="5000" w:type="pct"/>
            <w:tcBorders>
              <w:top w:val="single" w:sz="4" w:space="0" w:color="4F81BD"/>
            </w:tcBorders>
            <w:vAlign w:val="center"/>
          </w:tcPr>
          <w:p w:rsidR="00A91753" w:rsidRDefault="00A91753" w:rsidP="00A91753">
            <w:pPr>
              <w:pStyle w:val="NoSpacing"/>
              <w:jc w:val="center"/>
              <w:rPr>
                <w:rFonts w:ascii="Cambria" w:hAnsi="Cambria"/>
                <w:sz w:val="44"/>
                <w:szCs w:val="44"/>
              </w:rPr>
            </w:pPr>
            <w:r>
              <w:rPr>
                <w:rFonts w:ascii="Cambria" w:hAnsi="Cambria"/>
                <w:sz w:val="44"/>
                <w:szCs w:val="44"/>
              </w:rPr>
              <w:t>2011-2012</w:t>
            </w:r>
          </w:p>
        </w:tc>
      </w:tr>
      <w:tr w:rsidR="00A91753">
        <w:trPr>
          <w:trHeight w:val="360"/>
          <w:jc w:val="center"/>
        </w:trPr>
        <w:tc>
          <w:tcPr>
            <w:tcW w:w="5000" w:type="pct"/>
            <w:vAlign w:val="center"/>
          </w:tcPr>
          <w:p w:rsidR="00A91753" w:rsidRPr="00A91753" w:rsidRDefault="00A91753">
            <w:pPr>
              <w:pStyle w:val="NoSpacing"/>
              <w:jc w:val="center"/>
            </w:pPr>
          </w:p>
        </w:tc>
      </w:tr>
      <w:tr w:rsidR="00A91753">
        <w:trPr>
          <w:trHeight w:val="360"/>
          <w:jc w:val="center"/>
        </w:trPr>
        <w:tc>
          <w:tcPr>
            <w:tcW w:w="5000" w:type="pct"/>
            <w:vAlign w:val="center"/>
          </w:tcPr>
          <w:p w:rsidR="00A91753" w:rsidRPr="00A91753" w:rsidRDefault="00A91753" w:rsidP="00A91753">
            <w:pPr>
              <w:pStyle w:val="NoSpacing"/>
              <w:rPr>
                <w:b/>
                <w:bCs/>
              </w:rPr>
            </w:pPr>
          </w:p>
        </w:tc>
      </w:tr>
      <w:tr w:rsidR="00A91753">
        <w:trPr>
          <w:trHeight w:val="360"/>
          <w:jc w:val="center"/>
        </w:trPr>
        <w:tc>
          <w:tcPr>
            <w:tcW w:w="5000" w:type="pct"/>
            <w:vAlign w:val="center"/>
          </w:tcPr>
          <w:p w:rsidR="00A91753" w:rsidRPr="00A91753" w:rsidRDefault="00A91753" w:rsidP="00A91753">
            <w:pPr>
              <w:pStyle w:val="NoSpacing"/>
              <w:jc w:val="center"/>
              <w:rPr>
                <w:b/>
                <w:bCs/>
              </w:rPr>
            </w:pPr>
          </w:p>
        </w:tc>
      </w:tr>
    </w:tbl>
    <w:p w:rsidR="00A91753" w:rsidRDefault="00A91753"/>
    <w:p w:rsidR="00A91753" w:rsidRDefault="00A91753"/>
    <w:p w:rsidR="00A91753" w:rsidRDefault="00A91753"/>
    <w:p w:rsidR="00A91753" w:rsidRDefault="00A91753">
      <w:r>
        <w:br w:type="page"/>
      </w:r>
    </w:p>
    <w:p w:rsidR="00A91753" w:rsidRPr="00166BE6" w:rsidRDefault="00A91753" w:rsidP="00A91753">
      <w:pPr>
        <w:rPr>
          <w:rFonts w:cs="Calibri"/>
          <w:b/>
          <w:sz w:val="28"/>
          <w:szCs w:val="28"/>
        </w:rPr>
      </w:pPr>
      <w:r>
        <w:lastRenderedPageBreak/>
        <w:br w:type="page"/>
      </w:r>
      <w:bookmarkStart w:id="0" w:name="_GoBack"/>
      <w:bookmarkEnd w:id="0"/>
      <w:r w:rsidRPr="00166BE6">
        <w:rPr>
          <w:rFonts w:cs="Calibri"/>
          <w:b/>
          <w:sz w:val="28"/>
          <w:szCs w:val="28"/>
        </w:rPr>
        <w:lastRenderedPageBreak/>
        <w:t>Executive Summary</w:t>
      </w:r>
    </w:p>
    <w:p w:rsidR="00A91753" w:rsidRPr="00166BE6" w:rsidRDefault="00A91753" w:rsidP="00A91753">
      <w:pPr>
        <w:rPr>
          <w:rFonts w:cs="Calibri"/>
        </w:rPr>
      </w:pPr>
      <w:r w:rsidRPr="00166BE6">
        <w:rPr>
          <w:rFonts w:cs="Calibri"/>
        </w:rPr>
        <w:t>Georgia Gwinnett College Library was successful in meeting its primary goals of excellence in the year 2011-2012. Primary points of achievement include the following:</w:t>
      </w:r>
    </w:p>
    <w:p w:rsidR="00A91753" w:rsidRPr="00166BE6" w:rsidRDefault="00A91753" w:rsidP="00A91753">
      <w:pPr>
        <w:numPr>
          <w:ilvl w:val="0"/>
          <w:numId w:val="1"/>
        </w:numPr>
        <w:spacing w:after="0" w:line="240" w:lineRule="auto"/>
        <w:rPr>
          <w:rFonts w:cs="Calibri"/>
        </w:rPr>
      </w:pPr>
      <w:r w:rsidRPr="00166BE6">
        <w:rPr>
          <w:rFonts w:cs="Calibri"/>
          <w:b/>
        </w:rPr>
        <w:t>Library Building</w:t>
      </w:r>
      <w:r w:rsidRPr="00166BE6">
        <w:rPr>
          <w:rFonts w:cs="Calibri"/>
        </w:rPr>
        <w:t xml:space="preserve"> – The new Library continues its status of campus icon and one of the most popular buildings on campus. The attendant issue of building noise led the library administration to reevaluate noise policies. </w:t>
      </w:r>
    </w:p>
    <w:p w:rsidR="00A91753" w:rsidRPr="00166BE6" w:rsidRDefault="00A91753" w:rsidP="00A91753">
      <w:pPr>
        <w:numPr>
          <w:ilvl w:val="0"/>
          <w:numId w:val="1"/>
        </w:numPr>
        <w:spacing w:after="0" w:line="240" w:lineRule="auto"/>
        <w:rPr>
          <w:rFonts w:cs="Calibri"/>
        </w:rPr>
      </w:pPr>
      <w:r w:rsidRPr="00166BE6">
        <w:rPr>
          <w:rFonts w:cs="Calibri"/>
          <w:b/>
        </w:rPr>
        <w:t>Collections</w:t>
      </w:r>
      <w:r w:rsidRPr="00166BE6">
        <w:rPr>
          <w:rFonts w:cs="Calibri"/>
        </w:rPr>
        <w:t xml:space="preserve"> – The Library’s collections budget was maintained at previous levels. The Library was able to honor faculty requests for new materials and to continue its development of a collection designed to support the curricula. Supplemental funding for an Opening Day Collection was again lost due to state budget shortfalls. </w:t>
      </w:r>
    </w:p>
    <w:p w:rsidR="00A91753" w:rsidRPr="00166BE6" w:rsidRDefault="00A91753" w:rsidP="00A91753">
      <w:pPr>
        <w:numPr>
          <w:ilvl w:val="0"/>
          <w:numId w:val="1"/>
        </w:numPr>
        <w:spacing w:after="0" w:line="240" w:lineRule="auto"/>
        <w:rPr>
          <w:rFonts w:cs="Calibri"/>
        </w:rPr>
      </w:pPr>
      <w:r w:rsidRPr="00166BE6">
        <w:rPr>
          <w:rFonts w:cs="Calibri"/>
          <w:b/>
        </w:rPr>
        <w:t>Services</w:t>
      </w:r>
      <w:r w:rsidRPr="00166BE6">
        <w:rPr>
          <w:rFonts w:cs="Calibri"/>
        </w:rPr>
        <w:t xml:space="preserve"> – The Library’s instruction program was very successful and busy further justifying the need to boost the staffing in that area. The Library’s three Information Commons continue to provide additional and important outreach of library services for the GGC community and underline the continuing need for additional staff in Library Information Systems.  </w:t>
      </w:r>
    </w:p>
    <w:p w:rsidR="00A91753" w:rsidRPr="00166BE6" w:rsidRDefault="00A91753" w:rsidP="00A91753">
      <w:pPr>
        <w:rPr>
          <w:rFonts w:cs="Calibri"/>
        </w:rPr>
      </w:pPr>
    </w:p>
    <w:p w:rsidR="00A91753" w:rsidRPr="001C1140" w:rsidRDefault="00A91753" w:rsidP="00A91753">
      <w:pPr>
        <w:rPr>
          <w:rFonts w:cs="Calibri"/>
        </w:rPr>
      </w:pPr>
      <w:r w:rsidRPr="00166BE6">
        <w:rPr>
          <w:rFonts w:cs="Calibri"/>
        </w:rPr>
        <w:t xml:space="preserve">The 2011-2012 administrative goals for the Library were: </w:t>
      </w:r>
    </w:p>
    <w:p w:rsidR="00A91753" w:rsidRPr="00166BE6" w:rsidRDefault="00811953" w:rsidP="00A91753">
      <w:pPr>
        <w:numPr>
          <w:ilvl w:val="0"/>
          <w:numId w:val="2"/>
        </w:numPr>
        <w:spacing w:after="0" w:line="240" w:lineRule="auto"/>
        <w:rPr>
          <w:rFonts w:cs="Calibri"/>
          <w:b/>
        </w:rPr>
      </w:pPr>
      <w:r>
        <w:rPr>
          <w:rFonts w:cs="Calibri"/>
          <w:b/>
        </w:rPr>
        <w:t>Policy &amp; Procedures M</w:t>
      </w:r>
      <w:r w:rsidR="00A91753" w:rsidRPr="00166BE6">
        <w:rPr>
          <w:rFonts w:cs="Calibri"/>
          <w:b/>
        </w:rPr>
        <w:t xml:space="preserve">anuals – </w:t>
      </w:r>
      <w:r w:rsidR="00A91753" w:rsidRPr="00166BE6">
        <w:rPr>
          <w:rFonts w:cs="Calibri"/>
        </w:rPr>
        <w:t>Coordinate the updating of all departmental policy &amp; procedures manuals to ensure that they direct Library functions and services to the highest level of efficiency and effectiveness.</w:t>
      </w:r>
    </w:p>
    <w:p w:rsidR="00A91753" w:rsidRPr="00166BE6" w:rsidRDefault="00A91753" w:rsidP="00A91753">
      <w:pPr>
        <w:numPr>
          <w:ilvl w:val="0"/>
          <w:numId w:val="2"/>
        </w:numPr>
        <w:spacing w:after="0" w:line="240" w:lineRule="auto"/>
        <w:rPr>
          <w:rFonts w:cs="Calibri"/>
          <w:b/>
        </w:rPr>
      </w:pPr>
      <w:r w:rsidRPr="00166BE6">
        <w:rPr>
          <w:rFonts w:cs="Calibri"/>
          <w:b/>
        </w:rPr>
        <w:t>Georgia Knowledge Repository –</w:t>
      </w:r>
      <w:r w:rsidRPr="00166BE6">
        <w:rPr>
          <w:rFonts w:cs="Calibri"/>
        </w:rPr>
        <w:t xml:space="preserve"> Support the Library’s development of the College’s information repository to provide for the preservation of the digital intellectual output of the institution. Administer the first phase of implementation of the Georgia Knowledge Repository on this campus.   </w:t>
      </w:r>
    </w:p>
    <w:p w:rsidR="00A91753" w:rsidRPr="00166BE6" w:rsidRDefault="00A91753" w:rsidP="00A91753">
      <w:pPr>
        <w:numPr>
          <w:ilvl w:val="0"/>
          <w:numId w:val="2"/>
        </w:numPr>
        <w:spacing w:after="0" w:line="240" w:lineRule="auto"/>
        <w:rPr>
          <w:rFonts w:cs="Calibri"/>
          <w:b/>
        </w:rPr>
      </w:pPr>
      <w:r w:rsidRPr="00166BE6">
        <w:rPr>
          <w:rFonts w:cs="Calibri"/>
          <w:b/>
        </w:rPr>
        <w:t xml:space="preserve">Strategic Plan &amp; Assessment – </w:t>
      </w:r>
      <w:r w:rsidRPr="00166BE6">
        <w:rPr>
          <w:rFonts w:cs="Calibri"/>
        </w:rPr>
        <w:t>Administer the updating of the Library’s Strategic Plan and assessment tools ensuring that they will most efficiently direct and inform the development of the unit’s services and resources.</w:t>
      </w:r>
    </w:p>
    <w:p w:rsidR="00A91753" w:rsidRPr="00166BE6" w:rsidRDefault="00A91753" w:rsidP="00A91753">
      <w:pPr>
        <w:numPr>
          <w:ilvl w:val="0"/>
          <w:numId w:val="2"/>
        </w:numPr>
        <w:spacing w:after="0" w:line="240" w:lineRule="auto"/>
        <w:rPr>
          <w:rFonts w:cs="Calibri"/>
        </w:rPr>
      </w:pPr>
      <w:r w:rsidRPr="00166BE6">
        <w:rPr>
          <w:rFonts w:cs="Calibri"/>
          <w:b/>
        </w:rPr>
        <w:t>SACS Compliance Certification and Quality Enhancement Plan</w:t>
      </w:r>
      <w:r w:rsidRPr="00166BE6">
        <w:rPr>
          <w:rFonts w:cs="Calibri"/>
        </w:rPr>
        <w:t xml:space="preserve"> – Prepare the Library for successful SACS Compliance Certification and Quality Enhancement Plan programs.</w:t>
      </w:r>
    </w:p>
    <w:p w:rsidR="00A91753" w:rsidRPr="00166BE6" w:rsidRDefault="00A91753" w:rsidP="00A91753">
      <w:pPr>
        <w:numPr>
          <w:ilvl w:val="0"/>
          <w:numId w:val="2"/>
        </w:numPr>
        <w:spacing w:after="0" w:line="240" w:lineRule="auto"/>
        <w:rPr>
          <w:rFonts w:cs="Calibri"/>
          <w:b/>
        </w:rPr>
      </w:pPr>
      <w:r w:rsidRPr="00166BE6">
        <w:rPr>
          <w:rFonts w:cs="Calibri"/>
          <w:b/>
        </w:rPr>
        <w:t xml:space="preserve">Library Staffing - </w:t>
      </w:r>
      <w:r w:rsidRPr="00166BE6">
        <w:rPr>
          <w:rFonts w:cs="Calibri"/>
        </w:rPr>
        <w:t>Coordinate the development of the Library’s staffing levels and administer a successful plan for the growth of the library faculty and staff to meet the needs of the growth of the College’s programs and user populations.</w:t>
      </w:r>
    </w:p>
    <w:p w:rsidR="00A91753" w:rsidRPr="00166BE6" w:rsidRDefault="00A91753" w:rsidP="00A91753">
      <w:pPr>
        <w:numPr>
          <w:ilvl w:val="0"/>
          <w:numId w:val="2"/>
        </w:numPr>
        <w:spacing w:after="0" w:line="240" w:lineRule="auto"/>
        <w:rPr>
          <w:rFonts w:cs="Calibri"/>
          <w:b/>
        </w:rPr>
      </w:pPr>
      <w:r w:rsidRPr="00166BE6">
        <w:rPr>
          <w:rFonts w:cs="Calibri"/>
          <w:b/>
        </w:rPr>
        <w:t xml:space="preserve">Library Resources - </w:t>
      </w:r>
      <w:r w:rsidRPr="00166BE6">
        <w:rPr>
          <w:rFonts w:cs="Calibri"/>
        </w:rPr>
        <w:t>Secure significant increases in the collections budget to meet the needs of the growth of the College’s programs and user populations.</w:t>
      </w:r>
    </w:p>
    <w:p w:rsidR="00A91753" w:rsidRPr="00166BE6" w:rsidRDefault="00A91753" w:rsidP="00A91753">
      <w:pPr>
        <w:rPr>
          <w:rFonts w:cs="Calibri"/>
        </w:rPr>
      </w:pPr>
    </w:p>
    <w:p w:rsidR="00A91753" w:rsidRPr="00166BE6" w:rsidRDefault="00A91753" w:rsidP="00A91753">
      <w:pPr>
        <w:rPr>
          <w:rFonts w:cs="Calibri"/>
        </w:rPr>
      </w:pPr>
      <w:r w:rsidRPr="00166BE6">
        <w:rPr>
          <w:rFonts w:cs="Calibri"/>
        </w:rPr>
        <w:t xml:space="preserve">Goals 1, 2, and 4 were successfully accomplished and assisted the library to more effectively address future challenges associated with the development of a new college library. The goal pertaining to Strategic Plan was placed on hold awaiting the completion of the College Strategic Plan. The Library was unable to secure additional staffing and significant increases in the collections budget. Continued budget shortfalls for FY13 threaten further development in both areas. </w:t>
      </w:r>
    </w:p>
    <w:p w:rsidR="00A91753" w:rsidRPr="00166BE6" w:rsidRDefault="00A91753" w:rsidP="00A91753">
      <w:pPr>
        <w:rPr>
          <w:rFonts w:cs="Calibri"/>
        </w:rPr>
      </w:pPr>
    </w:p>
    <w:p w:rsidR="00A91753" w:rsidRPr="00166BE6" w:rsidRDefault="00A91753" w:rsidP="00A91753">
      <w:pPr>
        <w:rPr>
          <w:rFonts w:cs="Calibri"/>
        </w:rPr>
      </w:pPr>
      <w:r w:rsidRPr="00166BE6">
        <w:rPr>
          <w:rFonts w:cs="Calibri"/>
        </w:rPr>
        <w:t>The 2012-2013 administrative goals for the Library are:</w:t>
      </w:r>
    </w:p>
    <w:p w:rsidR="00A91753" w:rsidRPr="00166BE6" w:rsidRDefault="00A91753" w:rsidP="00A91753">
      <w:pPr>
        <w:numPr>
          <w:ilvl w:val="0"/>
          <w:numId w:val="2"/>
        </w:numPr>
        <w:spacing w:after="0" w:line="240" w:lineRule="auto"/>
        <w:rPr>
          <w:rFonts w:cs="Calibri"/>
          <w:b/>
        </w:rPr>
      </w:pPr>
      <w:r w:rsidRPr="00166BE6">
        <w:rPr>
          <w:rFonts w:cs="Calibri"/>
          <w:b/>
        </w:rPr>
        <w:t xml:space="preserve">Strategic Plan &amp; Assessment – </w:t>
      </w:r>
      <w:r w:rsidRPr="00166BE6">
        <w:rPr>
          <w:rFonts w:cs="Calibri"/>
        </w:rPr>
        <w:t>Administer the updating of the Library’s Strategic Plan and assessment tools ensuring that they will most efficiently direct and inform the development of the unit’s services and resources.</w:t>
      </w:r>
    </w:p>
    <w:p w:rsidR="00A91753" w:rsidRPr="00166BE6" w:rsidRDefault="00A91753" w:rsidP="00A91753">
      <w:pPr>
        <w:numPr>
          <w:ilvl w:val="0"/>
          <w:numId w:val="2"/>
        </w:numPr>
        <w:spacing w:after="0" w:line="240" w:lineRule="auto"/>
        <w:rPr>
          <w:rFonts w:cs="Calibri"/>
        </w:rPr>
      </w:pPr>
      <w:r w:rsidRPr="00166BE6">
        <w:rPr>
          <w:rFonts w:cs="Calibri"/>
          <w:b/>
        </w:rPr>
        <w:t>SACS Compliance Certification and Quality Enhancement Plan</w:t>
      </w:r>
      <w:r w:rsidRPr="00166BE6">
        <w:rPr>
          <w:rFonts w:cs="Calibri"/>
        </w:rPr>
        <w:t xml:space="preserve"> – Prepare the Library for successful SACS Compliance Certification and Quality Enhancement Plan programs.</w:t>
      </w:r>
    </w:p>
    <w:p w:rsidR="00A91753" w:rsidRPr="00166BE6" w:rsidRDefault="00A91753" w:rsidP="00A91753">
      <w:pPr>
        <w:numPr>
          <w:ilvl w:val="0"/>
          <w:numId w:val="2"/>
        </w:numPr>
        <w:spacing w:after="0" w:line="240" w:lineRule="auto"/>
        <w:rPr>
          <w:rFonts w:cs="Calibri"/>
          <w:b/>
        </w:rPr>
      </w:pPr>
      <w:r w:rsidRPr="00166BE6">
        <w:rPr>
          <w:rFonts w:cs="Calibri"/>
          <w:b/>
        </w:rPr>
        <w:t>Georgia Knowledge Repository –</w:t>
      </w:r>
      <w:r w:rsidRPr="00166BE6">
        <w:rPr>
          <w:rFonts w:cs="Calibri"/>
        </w:rPr>
        <w:t xml:space="preserve"> Continue to support the Library’s development of the College’s information repository to provide for the preservation of the digital intellectual output of the institution. </w:t>
      </w:r>
    </w:p>
    <w:p w:rsidR="00A91753" w:rsidRPr="00166BE6" w:rsidRDefault="00A91753" w:rsidP="00A91753">
      <w:pPr>
        <w:numPr>
          <w:ilvl w:val="0"/>
          <w:numId w:val="2"/>
        </w:numPr>
        <w:spacing w:after="0" w:line="240" w:lineRule="auto"/>
        <w:rPr>
          <w:rFonts w:cs="Calibri"/>
          <w:b/>
        </w:rPr>
      </w:pPr>
      <w:r w:rsidRPr="00166BE6">
        <w:rPr>
          <w:rFonts w:cs="Calibri"/>
          <w:b/>
        </w:rPr>
        <w:t xml:space="preserve">Library Staffing - </w:t>
      </w:r>
      <w:r w:rsidRPr="00166BE6">
        <w:rPr>
          <w:rFonts w:cs="Calibri"/>
        </w:rPr>
        <w:t>Coordinate the development of the Library’s staffing levels and administer a successful plan for the growth of the library faculty and staff to meet the needs of the growth of the College’s programs and user populations.</w:t>
      </w:r>
    </w:p>
    <w:p w:rsidR="00A91753" w:rsidRPr="00166BE6" w:rsidRDefault="00A91753" w:rsidP="00A91753">
      <w:pPr>
        <w:numPr>
          <w:ilvl w:val="0"/>
          <w:numId w:val="2"/>
        </w:numPr>
        <w:spacing w:after="0" w:line="240" w:lineRule="auto"/>
        <w:rPr>
          <w:rFonts w:cs="Calibri"/>
          <w:b/>
        </w:rPr>
      </w:pPr>
      <w:r w:rsidRPr="00166BE6">
        <w:rPr>
          <w:rFonts w:cs="Calibri"/>
          <w:b/>
        </w:rPr>
        <w:t xml:space="preserve">Library Resources - </w:t>
      </w:r>
      <w:r w:rsidRPr="00166BE6">
        <w:rPr>
          <w:rFonts w:cs="Calibri"/>
        </w:rPr>
        <w:t>Secure significant increases in the collections budget to meet the needs of the growth of the College’s programs and user populations.</w:t>
      </w:r>
    </w:p>
    <w:p w:rsidR="00A91753" w:rsidRPr="00166BE6" w:rsidRDefault="00A91753">
      <w:pPr>
        <w:rPr>
          <w:rFonts w:cs="Calibri"/>
        </w:rPr>
      </w:pPr>
    </w:p>
    <w:p w:rsidR="00FC3923" w:rsidRPr="00166BE6" w:rsidRDefault="00FC3923" w:rsidP="00A91753">
      <w:pPr>
        <w:rPr>
          <w:rFonts w:cs="Calibri"/>
        </w:rPr>
      </w:pPr>
    </w:p>
    <w:p w:rsidR="00F35211" w:rsidRPr="00166BE6" w:rsidRDefault="00F35211" w:rsidP="00FC3923">
      <w:pPr>
        <w:pStyle w:val="NormalWeb"/>
        <w:spacing w:before="0" w:beforeAutospacing="0" w:after="0" w:afterAutospacing="0"/>
        <w:outlineLvl w:val="0"/>
        <w:rPr>
          <w:rFonts w:ascii="Calibri" w:hAnsi="Calibri" w:cs="Calibri"/>
        </w:rPr>
      </w:pPr>
    </w:p>
    <w:p w:rsidR="00166BE6" w:rsidRPr="00166BE6" w:rsidRDefault="00F35211" w:rsidP="00AB0644">
      <w:pPr>
        <w:rPr>
          <w:rFonts w:cs="Calibri"/>
          <w:b/>
          <w:sz w:val="28"/>
          <w:szCs w:val="28"/>
        </w:rPr>
      </w:pPr>
      <w:r w:rsidRPr="00166BE6">
        <w:rPr>
          <w:rFonts w:cs="Calibri"/>
        </w:rPr>
        <w:br w:type="page"/>
      </w:r>
      <w:r w:rsidR="00AB0644" w:rsidRPr="00166BE6">
        <w:rPr>
          <w:rFonts w:cs="Calibri"/>
          <w:b/>
          <w:sz w:val="28"/>
          <w:szCs w:val="28"/>
        </w:rPr>
        <w:t>Access Services</w:t>
      </w:r>
    </w:p>
    <w:p w:rsidR="00AB0644" w:rsidRPr="00166BE6" w:rsidRDefault="00AB0644" w:rsidP="00AB0644">
      <w:pPr>
        <w:rPr>
          <w:rFonts w:cs="Calibri"/>
        </w:rPr>
      </w:pPr>
      <w:r w:rsidRPr="00166BE6">
        <w:rPr>
          <w:rFonts w:cs="Calibri"/>
        </w:rPr>
        <w:t xml:space="preserve">During 2011-2012 the Access Services staff has worked to provide the best service possible and offer as many of the department’s services as possible all the hours the library is open.    </w:t>
      </w:r>
    </w:p>
    <w:p w:rsidR="00AB0644" w:rsidRPr="00166BE6" w:rsidRDefault="00AB0644" w:rsidP="00AB0644">
      <w:pPr>
        <w:rPr>
          <w:rFonts w:cs="Calibri"/>
          <w:b/>
        </w:rPr>
      </w:pPr>
      <w:r w:rsidRPr="00166BE6">
        <w:rPr>
          <w:rFonts w:cs="Calibri"/>
          <w:b/>
        </w:rPr>
        <w:t>Activities for FY 2011-2012:</w:t>
      </w:r>
    </w:p>
    <w:p w:rsidR="00AB0644" w:rsidRPr="00166BE6" w:rsidRDefault="001C1140" w:rsidP="00811953">
      <w:pPr>
        <w:spacing w:after="0"/>
        <w:ind w:left="1440" w:hanging="720"/>
        <w:rPr>
          <w:rFonts w:cs="Calibri"/>
        </w:rPr>
      </w:pPr>
      <w:r>
        <w:rPr>
          <w:rFonts w:cs="Calibri"/>
        </w:rPr>
        <w:t>•</w:t>
      </w:r>
      <w:r>
        <w:rPr>
          <w:rFonts w:cs="Calibri"/>
        </w:rPr>
        <w:tab/>
      </w:r>
      <w:r w:rsidRPr="00811953">
        <w:rPr>
          <w:rFonts w:cs="Calibri"/>
          <w:b/>
        </w:rPr>
        <w:t>Library Assistant I</w:t>
      </w:r>
      <w:r>
        <w:rPr>
          <w:rFonts w:cs="Calibri"/>
        </w:rPr>
        <w:t xml:space="preserve"> – The hiring process </w:t>
      </w:r>
      <w:r w:rsidR="00AB0644" w:rsidRPr="00166BE6">
        <w:rPr>
          <w:rFonts w:cs="Calibri"/>
        </w:rPr>
        <w:t>for two LAIs</w:t>
      </w:r>
      <w:r>
        <w:rPr>
          <w:rFonts w:cs="Calibri"/>
        </w:rPr>
        <w:t xml:space="preserve"> was conducted</w:t>
      </w:r>
      <w:r w:rsidR="00AB0644" w:rsidRPr="00166BE6">
        <w:rPr>
          <w:rFonts w:cs="Calibri"/>
        </w:rPr>
        <w:t>; one a replacement and one a new position</w:t>
      </w:r>
      <w:r>
        <w:rPr>
          <w:rFonts w:cs="Calibri"/>
        </w:rPr>
        <w:t xml:space="preserve"> bringing the number of LAIs in Access </w:t>
      </w:r>
      <w:r w:rsidR="00811953">
        <w:rPr>
          <w:rFonts w:cs="Calibri"/>
        </w:rPr>
        <w:t xml:space="preserve">Services </w:t>
      </w:r>
      <w:r>
        <w:rPr>
          <w:rFonts w:cs="Calibri"/>
        </w:rPr>
        <w:t>to three</w:t>
      </w:r>
      <w:r w:rsidR="00AB0644" w:rsidRPr="00166BE6">
        <w:rPr>
          <w:rFonts w:cs="Calibri"/>
        </w:rPr>
        <w:t>.</w:t>
      </w:r>
    </w:p>
    <w:p w:rsidR="00AB0644" w:rsidRPr="00166BE6" w:rsidRDefault="00AB0644" w:rsidP="00811953">
      <w:pPr>
        <w:spacing w:after="0"/>
        <w:ind w:left="1440" w:hanging="720"/>
        <w:rPr>
          <w:rFonts w:cs="Calibri"/>
        </w:rPr>
      </w:pPr>
      <w:r w:rsidRPr="00166BE6">
        <w:rPr>
          <w:rFonts w:cs="Calibri"/>
        </w:rPr>
        <w:t>•</w:t>
      </w:r>
      <w:r w:rsidRPr="00166BE6">
        <w:rPr>
          <w:rFonts w:cs="Calibri"/>
        </w:rPr>
        <w:tab/>
      </w:r>
      <w:r w:rsidRPr="004A46CB">
        <w:rPr>
          <w:rFonts w:cs="Calibri"/>
          <w:b/>
        </w:rPr>
        <w:t>Collection Maintenance</w:t>
      </w:r>
      <w:r w:rsidRPr="00166BE6">
        <w:rPr>
          <w:rFonts w:cs="Calibri"/>
        </w:rPr>
        <w:t xml:space="preserve"> – Three full inventories of the collection were completed during this year.  The collection is dusted, straightened, and shelf read regularly.</w:t>
      </w:r>
    </w:p>
    <w:p w:rsidR="00AB0644" w:rsidRPr="00166BE6" w:rsidRDefault="00AB0644" w:rsidP="00811953">
      <w:pPr>
        <w:spacing w:after="0"/>
        <w:ind w:firstLine="720"/>
        <w:rPr>
          <w:rFonts w:cs="Calibri"/>
        </w:rPr>
      </w:pPr>
      <w:r w:rsidRPr="00166BE6">
        <w:rPr>
          <w:rFonts w:cs="Calibri"/>
        </w:rPr>
        <w:t>•</w:t>
      </w:r>
      <w:r w:rsidRPr="00166BE6">
        <w:rPr>
          <w:rFonts w:cs="Calibri"/>
        </w:rPr>
        <w:tab/>
      </w:r>
      <w:r w:rsidRPr="004A46CB">
        <w:rPr>
          <w:rFonts w:cs="Calibri"/>
          <w:b/>
        </w:rPr>
        <w:t xml:space="preserve">Gate </w:t>
      </w:r>
      <w:r w:rsidR="004A46CB">
        <w:rPr>
          <w:rFonts w:cs="Calibri"/>
          <w:b/>
        </w:rPr>
        <w:t>C</w:t>
      </w:r>
      <w:r w:rsidRPr="004A46CB">
        <w:rPr>
          <w:rFonts w:cs="Calibri"/>
          <w:b/>
        </w:rPr>
        <w:t>ount</w:t>
      </w:r>
      <w:r w:rsidRPr="00166BE6">
        <w:rPr>
          <w:rFonts w:cs="Calibri"/>
        </w:rPr>
        <w:t xml:space="preserve"> </w:t>
      </w:r>
      <w:r w:rsidR="004A46CB">
        <w:rPr>
          <w:rFonts w:cs="Calibri"/>
        </w:rPr>
        <w:t xml:space="preserve"> -</w:t>
      </w:r>
      <w:r w:rsidRPr="00166BE6">
        <w:rPr>
          <w:rFonts w:cs="Calibri"/>
        </w:rPr>
        <w:t>increased from 299,390 in FY2011 to 433,028 in FY2012; a 44.6% increase.</w:t>
      </w:r>
    </w:p>
    <w:p w:rsidR="00AB0644" w:rsidRPr="00166BE6" w:rsidRDefault="00AB0644" w:rsidP="00811953">
      <w:pPr>
        <w:spacing w:after="0"/>
        <w:ind w:left="1440" w:hanging="720"/>
        <w:rPr>
          <w:rFonts w:cs="Calibri"/>
        </w:rPr>
      </w:pPr>
      <w:r w:rsidRPr="00166BE6">
        <w:rPr>
          <w:rFonts w:cs="Calibri"/>
        </w:rPr>
        <w:t>•</w:t>
      </w:r>
      <w:r w:rsidRPr="00166BE6">
        <w:rPr>
          <w:rFonts w:cs="Calibri"/>
        </w:rPr>
        <w:tab/>
      </w:r>
      <w:r w:rsidR="004A46CB">
        <w:rPr>
          <w:rFonts w:cs="Calibri"/>
          <w:b/>
        </w:rPr>
        <w:t xml:space="preserve">Circulation </w:t>
      </w:r>
      <w:r w:rsidR="004A46CB">
        <w:rPr>
          <w:rFonts w:cs="Calibri"/>
        </w:rPr>
        <w:t xml:space="preserve">- </w:t>
      </w:r>
      <w:r w:rsidRPr="00166BE6">
        <w:rPr>
          <w:rFonts w:cs="Calibri"/>
        </w:rPr>
        <w:t>The number of circulation transactions rose 24.6% from 20,083 in FY2011 to 25,022 in FY2012.</w:t>
      </w:r>
    </w:p>
    <w:p w:rsidR="00AB0644" w:rsidRPr="00166BE6" w:rsidRDefault="004A46CB" w:rsidP="00811953">
      <w:pPr>
        <w:spacing w:after="0"/>
        <w:ind w:left="1440" w:hanging="720"/>
        <w:rPr>
          <w:rFonts w:cs="Calibri"/>
        </w:rPr>
      </w:pPr>
      <w:r>
        <w:rPr>
          <w:rFonts w:cs="Calibri"/>
        </w:rPr>
        <w:t>•</w:t>
      </w:r>
      <w:r>
        <w:rPr>
          <w:rFonts w:cs="Calibri"/>
        </w:rPr>
        <w:tab/>
      </w:r>
      <w:r w:rsidRPr="004A46CB">
        <w:rPr>
          <w:rFonts w:cs="Calibri"/>
          <w:b/>
        </w:rPr>
        <w:t>GIL Express</w:t>
      </w:r>
      <w:r>
        <w:rPr>
          <w:rFonts w:cs="Calibri"/>
        </w:rPr>
        <w:t xml:space="preserve"> - </w:t>
      </w:r>
      <w:r w:rsidR="00811953">
        <w:rPr>
          <w:rFonts w:cs="Calibri"/>
        </w:rPr>
        <w:t>transactions i</w:t>
      </w:r>
      <w:r w:rsidR="00AB0644" w:rsidRPr="00166BE6">
        <w:rPr>
          <w:rFonts w:cs="Calibri"/>
        </w:rPr>
        <w:t>ncreased 9.2% from 3,564 lending and borrowing transactions in FY2011 to 3,892 in FY2012.</w:t>
      </w:r>
    </w:p>
    <w:p w:rsidR="00AB0644" w:rsidRPr="00166BE6" w:rsidRDefault="00AB0644" w:rsidP="00811953">
      <w:pPr>
        <w:spacing w:after="0"/>
        <w:ind w:left="1440" w:hanging="720"/>
        <w:rPr>
          <w:rFonts w:cs="Calibri"/>
        </w:rPr>
      </w:pPr>
      <w:r w:rsidRPr="00166BE6">
        <w:rPr>
          <w:rFonts w:cs="Calibri"/>
        </w:rPr>
        <w:t>•</w:t>
      </w:r>
      <w:r w:rsidRPr="00166BE6">
        <w:rPr>
          <w:rFonts w:cs="Calibri"/>
        </w:rPr>
        <w:tab/>
      </w:r>
      <w:r w:rsidRPr="004A46CB">
        <w:rPr>
          <w:rFonts w:cs="Calibri"/>
          <w:b/>
        </w:rPr>
        <w:t>Reserves</w:t>
      </w:r>
      <w:r w:rsidRPr="00166BE6">
        <w:rPr>
          <w:rFonts w:cs="Calibri"/>
        </w:rPr>
        <w:t xml:space="preserve"> – Items placed on electronic and traditional reserves have continued to increase over the last year.  From Fall 2010-Summer 2011, 404 items were put on reserve.  From Fall 2011-Summer 2012, 543 items were put on reserve; a 34.4% increase. </w:t>
      </w:r>
    </w:p>
    <w:p w:rsidR="00AB0644" w:rsidRPr="00166BE6" w:rsidRDefault="004A46CB" w:rsidP="00811953">
      <w:pPr>
        <w:spacing w:after="0"/>
        <w:ind w:left="1440" w:hanging="720"/>
        <w:rPr>
          <w:rFonts w:cs="Calibri"/>
        </w:rPr>
      </w:pPr>
      <w:r>
        <w:rPr>
          <w:rFonts w:cs="Calibri"/>
        </w:rPr>
        <w:t>•</w:t>
      </w:r>
      <w:r>
        <w:rPr>
          <w:rFonts w:cs="Calibri"/>
        </w:rPr>
        <w:tab/>
      </w:r>
      <w:r w:rsidRPr="004A46CB">
        <w:rPr>
          <w:rFonts w:cs="Calibri"/>
          <w:b/>
        </w:rPr>
        <w:t>Campus A</w:t>
      </w:r>
      <w:r w:rsidR="00AB0644" w:rsidRPr="004A46CB">
        <w:rPr>
          <w:rFonts w:cs="Calibri"/>
          <w:b/>
        </w:rPr>
        <w:t>rchives</w:t>
      </w:r>
      <w:r w:rsidR="00AB0644" w:rsidRPr="00166BE6">
        <w:rPr>
          <w:rFonts w:cs="Calibri"/>
        </w:rPr>
        <w:t xml:space="preserve"> – Solicitation and receipt of archival materials has increased slightly over the past year and a vertical/subject file has been implemented.</w:t>
      </w:r>
    </w:p>
    <w:p w:rsidR="00AB0644" w:rsidRPr="00166BE6" w:rsidRDefault="00AB0644" w:rsidP="00811953">
      <w:pPr>
        <w:spacing w:after="0"/>
        <w:ind w:firstLine="720"/>
        <w:rPr>
          <w:rFonts w:cs="Calibri"/>
        </w:rPr>
      </w:pPr>
      <w:r w:rsidRPr="00166BE6">
        <w:rPr>
          <w:rFonts w:cs="Calibri"/>
        </w:rPr>
        <w:t>•</w:t>
      </w:r>
      <w:r w:rsidRPr="00166BE6">
        <w:rPr>
          <w:rFonts w:cs="Calibri"/>
        </w:rPr>
        <w:tab/>
      </w:r>
      <w:r w:rsidRPr="004A46CB">
        <w:rPr>
          <w:rFonts w:cs="Calibri"/>
          <w:b/>
        </w:rPr>
        <w:t>Institutional Repository</w:t>
      </w:r>
      <w:r w:rsidRPr="00166BE6">
        <w:rPr>
          <w:rFonts w:cs="Calibri"/>
        </w:rPr>
        <w:t xml:space="preserve"> – Solicitation and deposit of electronic materials is ongoing.</w:t>
      </w:r>
    </w:p>
    <w:p w:rsidR="00AB0644" w:rsidRPr="00166BE6" w:rsidRDefault="00AB0644" w:rsidP="00811953">
      <w:pPr>
        <w:ind w:left="1440" w:hanging="720"/>
        <w:rPr>
          <w:rFonts w:cs="Calibri"/>
        </w:rPr>
      </w:pPr>
      <w:r w:rsidRPr="00166BE6">
        <w:rPr>
          <w:rFonts w:cs="Calibri"/>
        </w:rPr>
        <w:t>•</w:t>
      </w:r>
      <w:r w:rsidRPr="00166BE6">
        <w:rPr>
          <w:rFonts w:cs="Calibri"/>
        </w:rPr>
        <w:tab/>
      </w:r>
      <w:r w:rsidR="004A46CB">
        <w:rPr>
          <w:rFonts w:cs="Calibri"/>
          <w:b/>
        </w:rPr>
        <w:t xml:space="preserve">Instruction </w:t>
      </w:r>
      <w:r w:rsidR="004A46CB">
        <w:rPr>
          <w:rFonts w:cs="Calibri"/>
        </w:rPr>
        <w:t xml:space="preserve">- </w:t>
      </w:r>
      <w:r w:rsidRPr="00166BE6">
        <w:rPr>
          <w:rFonts w:cs="Calibri"/>
        </w:rPr>
        <w:t>Catherine Downey served as a guest lecturer on archives and repositories for an introduction to public history class.</w:t>
      </w:r>
    </w:p>
    <w:p w:rsidR="00AB0644" w:rsidRPr="00166BE6" w:rsidRDefault="00AB0644" w:rsidP="00AB0644">
      <w:pPr>
        <w:rPr>
          <w:rFonts w:cs="Calibri"/>
          <w:b/>
        </w:rPr>
      </w:pPr>
      <w:r w:rsidRPr="00166BE6">
        <w:rPr>
          <w:rFonts w:cs="Calibri"/>
          <w:b/>
        </w:rPr>
        <w:t xml:space="preserve">Goals for FY 2012-2013: </w:t>
      </w:r>
    </w:p>
    <w:p w:rsidR="00AB0644" w:rsidRPr="00166BE6" w:rsidRDefault="00AB0644" w:rsidP="00811953">
      <w:pPr>
        <w:spacing w:after="0"/>
        <w:ind w:left="1440" w:hanging="720"/>
        <w:rPr>
          <w:rFonts w:cs="Calibri"/>
        </w:rPr>
      </w:pPr>
      <w:r w:rsidRPr="00166BE6">
        <w:rPr>
          <w:rFonts w:cs="Calibri"/>
        </w:rPr>
        <w:t>•</w:t>
      </w:r>
      <w:r w:rsidRPr="00166BE6">
        <w:rPr>
          <w:rFonts w:cs="Calibri"/>
        </w:rPr>
        <w:tab/>
      </w:r>
      <w:r w:rsidRPr="004A46CB">
        <w:rPr>
          <w:rFonts w:cs="Calibri"/>
          <w:b/>
        </w:rPr>
        <w:t>Records Retention &amp; Archives</w:t>
      </w:r>
      <w:r w:rsidRPr="00166BE6">
        <w:rPr>
          <w:rFonts w:cs="Calibri"/>
        </w:rPr>
        <w:t xml:space="preserve"> - Serve as the contact department in the Library for records retention activities. Continue to work with Library Director to anticipate the needs of the campus.  </w:t>
      </w:r>
    </w:p>
    <w:p w:rsidR="00AB0644" w:rsidRPr="00166BE6" w:rsidRDefault="00AB0644" w:rsidP="00811953">
      <w:pPr>
        <w:spacing w:after="0"/>
        <w:ind w:left="1440" w:hanging="720"/>
        <w:rPr>
          <w:rFonts w:cs="Calibri"/>
        </w:rPr>
      </w:pPr>
      <w:r w:rsidRPr="00166BE6">
        <w:rPr>
          <w:rFonts w:cs="Calibri"/>
        </w:rPr>
        <w:t>•</w:t>
      </w:r>
      <w:r w:rsidRPr="00166BE6">
        <w:rPr>
          <w:rFonts w:cs="Calibri"/>
        </w:rPr>
        <w:tab/>
      </w:r>
      <w:r w:rsidRPr="004A46CB">
        <w:rPr>
          <w:rFonts w:cs="Calibri"/>
          <w:b/>
        </w:rPr>
        <w:t>GALILEO Knowledge Repository</w:t>
      </w:r>
      <w:r w:rsidRPr="00166BE6">
        <w:rPr>
          <w:rFonts w:cs="Calibri"/>
        </w:rPr>
        <w:t xml:space="preserve"> – Expand the repository and continue soliciting materials from campus as we transition from one hosting service to another under the guidance of GKR staff.</w:t>
      </w:r>
    </w:p>
    <w:p w:rsidR="00AB0644" w:rsidRPr="00166BE6" w:rsidRDefault="00AB0644" w:rsidP="00811953">
      <w:pPr>
        <w:ind w:left="1440" w:hanging="720"/>
        <w:rPr>
          <w:rFonts w:cs="Calibri"/>
        </w:rPr>
      </w:pPr>
      <w:r w:rsidRPr="00166BE6">
        <w:rPr>
          <w:rFonts w:cs="Calibri"/>
        </w:rPr>
        <w:t>•</w:t>
      </w:r>
      <w:r w:rsidRPr="00166BE6">
        <w:rPr>
          <w:rFonts w:cs="Calibri"/>
        </w:rPr>
        <w:tab/>
      </w:r>
      <w:r w:rsidRPr="004A46CB">
        <w:rPr>
          <w:rFonts w:cs="Calibri"/>
          <w:b/>
        </w:rPr>
        <w:t>Staffing</w:t>
      </w:r>
      <w:r w:rsidRPr="00166BE6">
        <w:rPr>
          <w:rFonts w:cs="Calibri"/>
        </w:rPr>
        <w:t xml:space="preserve"> – Continue reviewing Access Services staff and reorganizing as necessary to provide the best service possible in line with budget and personnel constraints.</w:t>
      </w:r>
    </w:p>
    <w:p w:rsidR="00FC3923" w:rsidRPr="00166BE6" w:rsidRDefault="00FC3923" w:rsidP="00FC3923">
      <w:pPr>
        <w:pStyle w:val="NormalWeb"/>
        <w:spacing w:before="0" w:beforeAutospacing="0" w:after="0" w:afterAutospacing="0"/>
        <w:outlineLvl w:val="0"/>
        <w:rPr>
          <w:rFonts w:ascii="Calibri" w:hAnsi="Calibri" w:cs="Calibri"/>
        </w:rPr>
      </w:pPr>
      <w:r w:rsidRPr="00166BE6">
        <w:rPr>
          <w:rFonts w:ascii="Calibri" w:hAnsi="Calibri" w:cs="Calibri"/>
        </w:rPr>
        <w:br w:type="page"/>
      </w:r>
      <w:r w:rsidRPr="00166BE6">
        <w:rPr>
          <w:rFonts w:ascii="Calibri" w:hAnsi="Calibri" w:cs="Calibri"/>
          <w:b/>
          <w:bCs/>
          <w:sz w:val="28"/>
          <w:szCs w:val="28"/>
        </w:rPr>
        <w:t>Collections</w:t>
      </w: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  </w:t>
      </w: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FY 12 found the Collections Department finishing a rewrite of the Collection Development Policy, as well as a review and revision of all departmental policies and procedures. </w:t>
      </w:r>
      <w:r w:rsidR="001C1140" w:rsidRPr="00166BE6">
        <w:rPr>
          <w:rFonts w:ascii="Calibri" w:hAnsi="Calibri" w:cs="Calibri"/>
        </w:rPr>
        <w:t>This was necessary in order to deal with the challenges resulting from the new library building, as well as a much ever expanding library collection, and the major increase in need of and demands</w:t>
      </w:r>
      <w:r w:rsidRPr="00166BE6">
        <w:rPr>
          <w:rFonts w:ascii="Calibri" w:hAnsi="Calibri" w:cs="Calibri"/>
        </w:rPr>
        <w:t xml:space="preserve"> for new materials.  The task of outsourcing the processing and some of the cataloging of new materials began and has been very successful.  </w:t>
      </w:r>
    </w:p>
    <w:p w:rsidR="00FC3923" w:rsidRPr="00166BE6" w:rsidRDefault="00FC3923" w:rsidP="00FC3923">
      <w:pPr>
        <w:pStyle w:val="NormalWeb"/>
        <w:spacing w:before="0" w:beforeAutospacing="0" w:after="0" w:afterAutospacing="0"/>
        <w:rPr>
          <w:rFonts w:ascii="Calibri" w:hAnsi="Calibri" w:cs="Calibri"/>
        </w:rPr>
      </w:pPr>
    </w:p>
    <w:p w:rsidR="00FC3923"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Collections also began ordering and processing titles for the SOE Curriculum collection.  This partnership with the School of Education has meant that the Curriculum lab is open and available to students of that school. </w:t>
      </w:r>
    </w:p>
    <w:p w:rsidR="001C1140" w:rsidRPr="00166BE6" w:rsidRDefault="001C1140" w:rsidP="00FC3923">
      <w:pPr>
        <w:pStyle w:val="NormalWeb"/>
        <w:spacing w:before="0" w:beforeAutospacing="0" w:after="0" w:afterAutospacing="0"/>
        <w:rPr>
          <w:rFonts w:ascii="Calibri" w:hAnsi="Calibri" w:cs="Calibri"/>
        </w:rPr>
      </w:pP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Collections completed an extensive review of all electronic resources with an eye toward standardizing usage reports.  A schedule of reporting was established which should allow for a more consistent and routine collection of statistics on our electronic resources.</w:t>
      </w:r>
    </w:p>
    <w:p w:rsidR="00FC3923" w:rsidRPr="00166BE6" w:rsidRDefault="00FC3923" w:rsidP="00FC3923">
      <w:pPr>
        <w:pStyle w:val="NormalWeb"/>
        <w:spacing w:before="0" w:beforeAutospacing="0" w:after="0" w:afterAutospacing="0"/>
        <w:rPr>
          <w:rFonts w:ascii="Calibri" w:hAnsi="Calibri" w:cs="Calibri"/>
        </w:rPr>
      </w:pPr>
    </w:p>
    <w:p w:rsidR="001C1140" w:rsidRDefault="00FC3923" w:rsidP="00FC3923">
      <w:pPr>
        <w:pStyle w:val="NormalWeb"/>
        <w:spacing w:before="0" w:beforeAutospacing="0" w:after="0" w:afterAutospacing="0"/>
        <w:rPr>
          <w:rFonts w:ascii="Calibri" w:hAnsi="Calibri" w:cs="Calibri"/>
        </w:rPr>
      </w:pPr>
      <w:r w:rsidRPr="00166BE6">
        <w:rPr>
          <w:rFonts w:ascii="Calibri" w:hAnsi="Calibri" w:cs="Calibri"/>
        </w:rPr>
        <w:t>Collections established a Popular Reading collection featuring high quality and entertaini</w:t>
      </w:r>
      <w:r w:rsidR="00D50FDE">
        <w:rPr>
          <w:rFonts w:ascii="Calibri" w:hAnsi="Calibri" w:cs="Calibri"/>
        </w:rPr>
        <w:t xml:space="preserve">ng fiction and non-fiction.  There </w:t>
      </w:r>
      <w:r w:rsidRPr="00166BE6">
        <w:rPr>
          <w:rFonts w:ascii="Calibri" w:hAnsi="Calibri" w:cs="Calibri"/>
        </w:rPr>
        <w:t>have</w:t>
      </w:r>
      <w:r w:rsidR="00D50FDE">
        <w:rPr>
          <w:rFonts w:ascii="Calibri" w:hAnsi="Calibri" w:cs="Calibri"/>
        </w:rPr>
        <w:t xml:space="preserve"> been</w:t>
      </w:r>
      <w:r w:rsidRPr="00166BE6">
        <w:rPr>
          <w:rFonts w:ascii="Calibri" w:hAnsi="Calibri" w:cs="Calibri"/>
        </w:rPr>
        <w:t xml:space="preserve"> many requests from faculty and students for </w:t>
      </w:r>
      <w:r w:rsidR="00D50FDE">
        <w:rPr>
          <w:rFonts w:ascii="Calibri" w:hAnsi="Calibri" w:cs="Calibri"/>
        </w:rPr>
        <w:t xml:space="preserve">this collection and it is exciting </w:t>
      </w:r>
      <w:r w:rsidRPr="00166BE6">
        <w:rPr>
          <w:rFonts w:ascii="Calibri" w:hAnsi="Calibri" w:cs="Calibri"/>
        </w:rPr>
        <w:t xml:space="preserve">to have it finally available to the GGC community.  This collection consists mostly of donated or remainder titles and consequently has been established without any significant budget allocation. </w:t>
      </w: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 </w:t>
      </w: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Collections managed the selection and implementation of the EBSCO A to Z tool, which will allow GGC students and faculty to easily search across all electronic resources to find specific titles and information.  This new tool represents a huge step forward in terms of making the many valuable resources offered in the GGC collection much more accessible. </w:t>
      </w:r>
    </w:p>
    <w:p w:rsidR="00FC3923" w:rsidRPr="00166BE6" w:rsidRDefault="00FC3923" w:rsidP="00FC3923">
      <w:pPr>
        <w:pStyle w:val="NormalWeb"/>
        <w:spacing w:before="0" w:beforeAutospacing="0" w:after="0" w:afterAutospacing="0"/>
        <w:rPr>
          <w:rFonts w:ascii="Calibri" w:hAnsi="Calibri" w:cs="Calibri"/>
        </w:rPr>
      </w:pP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  </w:t>
      </w:r>
    </w:p>
    <w:p w:rsidR="00FC3923" w:rsidRPr="00166BE6" w:rsidRDefault="00FC3923" w:rsidP="00FC3923">
      <w:pPr>
        <w:pStyle w:val="NormalWeb"/>
        <w:spacing w:before="0" w:beforeAutospacing="0" w:after="0" w:afterAutospacing="0"/>
        <w:outlineLvl w:val="0"/>
        <w:rPr>
          <w:rFonts w:ascii="Calibri" w:hAnsi="Calibri" w:cs="Calibri"/>
        </w:rPr>
      </w:pPr>
      <w:r w:rsidRPr="00166BE6">
        <w:rPr>
          <w:rFonts w:ascii="Calibri" w:hAnsi="Calibri" w:cs="Calibri"/>
          <w:b/>
          <w:bCs/>
        </w:rPr>
        <w:t>Activities for FY 2011-2012</w:t>
      </w:r>
      <w:r w:rsidRPr="00166BE6">
        <w:rPr>
          <w:rFonts w:ascii="Calibri" w:hAnsi="Calibri" w:cs="Calibri"/>
        </w:rPr>
        <w:t xml:space="preserve">: </w:t>
      </w:r>
    </w:p>
    <w:p w:rsidR="00FC3923" w:rsidRPr="00166BE6" w:rsidRDefault="00FC3923" w:rsidP="00FC3923">
      <w:pPr>
        <w:pStyle w:val="NormalWeb"/>
        <w:spacing w:before="0" w:beforeAutospacing="0" w:after="0" w:afterAutospacing="0"/>
        <w:rPr>
          <w:rFonts w:ascii="Calibri" w:hAnsi="Calibri" w:cs="Calibri"/>
        </w:rPr>
      </w:pPr>
      <w:r w:rsidRPr="00166BE6">
        <w:rPr>
          <w:rFonts w:ascii="Calibri" w:hAnsi="Calibri" w:cs="Calibri"/>
        </w:rPr>
        <w:t xml:space="preserve">   </w:t>
      </w:r>
    </w:p>
    <w:p w:rsidR="00FC3923" w:rsidRPr="00166BE6" w:rsidRDefault="00FC3923" w:rsidP="00FC3923">
      <w:pPr>
        <w:pStyle w:val="NormalWeb"/>
        <w:numPr>
          <w:ilvl w:val="0"/>
          <w:numId w:val="11"/>
        </w:numPr>
        <w:spacing w:before="0" w:beforeAutospacing="0" w:after="0" w:afterAutospacing="0"/>
        <w:rPr>
          <w:rFonts w:ascii="Calibri" w:hAnsi="Calibri" w:cs="Calibri"/>
        </w:rPr>
      </w:pPr>
      <w:r w:rsidRPr="00166BE6">
        <w:rPr>
          <w:rFonts w:ascii="Calibri" w:hAnsi="Calibri" w:cs="Calibri"/>
          <w:b/>
        </w:rPr>
        <w:t>Outsourcing of Cataloging and Processing</w:t>
      </w:r>
      <w:r w:rsidRPr="00166BE6">
        <w:rPr>
          <w:rFonts w:ascii="Calibri" w:hAnsi="Calibri" w:cs="Calibri"/>
        </w:rPr>
        <w:t xml:space="preserve">-Began successful outsourcing of the processing and cataloging of monographs ordered through our primary vendor, B&amp;T. </w:t>
      </w:r>
    </w:p>
    <w:p w:rsidR="00FC3923" w:rsidRPr="00166BE6" w:rsidRDefault="00FC3923" w:rsidP="00FC3923">
      <w:pPr>
        <w:pStyle w:val="NormalWeb"/>
        <w:numPr>
          <w:ilvl w:val="0"/>
          <w:numId w:val="11"/>
        </w:numPr>
        <w:spacing w:before="0" w:beforeAutospacing="0" w:after="0" w:afterAutospacing="0"/>
        <w:rPr>
          <w:rFonts w:ascii="Calibri" w:hAnsi="Calibri" w:cs="Calibri"/>
        </w:rPr>
      </w:pPr>
      <w:r w:rsidRPr="00166BE6">
        <w:rPr>
          <w:rFonts w:ascii="Calibri" w:hAnsi="Calibri" w:cs="Calibri"/>
          <w:b/>
          <w:bCs/>
        </w:rPr>
        <w:t>New Monographs</w:t>
      </w:r>
      <w:r w:rsidRPr="00166BE6">
        <w:rPr>
          <w:rFonts w:ascii="Calibri" w:hAnsi="Calibri" w:cs="Calibri"/>
        </w:rPr>
        <w:t xml:space="preserve"> - Added 33,653 new monographs to the current collection. </w:t>
      </w:r>
    </w:p>
    <w:p w:rsidR="00FC3923" w:rsidRPr="00166BE6" w:rsidRDefault="00FC3923" w:rsidP="00FC3923">
      <w:pPr>
        <w:pStyle w:val="NormalWeb"/>
        <w:numPr>
          <w:ilvl w:val="0"/>
          <w:numId w:val="11"/>
        </w:numPr>
        <w:spacing w:before="0" w:beforeAutospacing="0" w:after="0" w:afterAutospacing="0"/>
        <w:rPr>
          <w:rFonts w:ascii="Calibri" w:hAnsi="Calibri" w:cs="Calibri"/>
        </w:rPr>
      </w:pPr>
      <w:r w:rsidRPr="00166BE6">
        <w:rPr>
          <w:rFonts w:ascii="Calibri" w:hAnsi="Calibri" w:cs="Calibri"/>
          <w:b/>
          <w:bCs/>
        </w:rPr>
        <w:t>Electronic Resources</w:t>
      </w:r>
      <w:r w:rsidRPr="00166BE6">
        <w:rPr>
          <w:rFonts w:ascii="Calibri" w:hAnsi="Calibri" w:cs="Calibri"/>
        </w:rPr>
        <w:t xml:space="preserve"> - Established a systematic approach to compiling, analyzing and reporting usage data for all GGC electronic resources. </w:t>
      </w:r>
    </w:p>
    <w:p w:rsidR="00FC3923" w:rsidRPr="00166BE6" w:rsidRDefault="00FC3923" w:rsidP="00FC3923">
      <w:pPr>
        <w:pStyle w:val="NormalWeb"/>
        <w:numPr>
          <w:ilvl w:val="0"/>
          <w:numId w:val="11"/>
        </w:numPr>
        <w:spacing w:before="0" w:beforeAutospacing="0" w:after="0" w:afterAutospacing="0"/>
        <w:rPr>
          <w:rFonts w:ascii="Calibri" w:hAnsi="Calibri" w:cs="Calibri"/>
        </w:rPr>
      </w:pPr>
      <w:r w:rsidRPr="00166BE6">
        <w:rPr>
          <w:rFonts w:ascii="Calibri" w:hAnsi="Calibri" w:cs="Calibri"/>
          <w:b/>
          <w:bCs/>
        </w:rPr>
        <w:t xml:space="preserve">SOE Curriculum Collection - </w:t>
      </w:r>
      <w:r w:rsidRPr="00166BE6">
        <w:rPr>
          <w:rFonts w:ascii="Calibri" w:hAnsi="Calibri" w:cs="Calibri"/>
          <w:bCs/>
        </w:rPr>
        <w:t>Begin selection and ordering for the SOE Curriculum collection</w:t>
      </w:r>
      <w:r w:rsidRPr="00166BE6">
        <w:rPr>
          <w:rFonts w:ascii="Calibri" w:hAnsi="Calibri" w:cs="Calibri"/>
        </w:rPr>
        <w:t>.  Assist SOE with organization of the curriculum center.</w:t>
      </w:r>
    </w:p>
    <w:p w:rsidR="00FC3923" w:rsidRPr="00166BE6" w:rsidRDefault="00FC3923" w:rsidP="00FC3923">
      <w:pPr>
        <w:pStyle w:val="NormalWeb"/>
        <w:numPr>
          <w:ilvl w:val="0"/>
          <w:numId w:val="11"/>
        </w:numPr>
        <w:spacing w:before="0" w:beforeAutospacing="0" w:after="0" w:afterAutospacing="0"/>
        <w:rPr>
          <w:rFonts w:ascii="Calibri" w:hAnsi="Calibri" w:cs="Calibri"/>
        </w:rPr>
      </w:pPr>
      <w:r w:rsidRPr="00166BE6">
        <w:rPr>
          <w:rFonts w:ascii="Calibri" w:hAnsi="Calibri" w:cs="Calibri"/>
          <w:b/>
          <w:bCs/>
        </w:rPr>
        <w:t>Collection Development Policy Revision-</w:t>
      </w:r>
      <w:r w:rsidRPr="00166BE6">
        <w:rPr>
          <w:rFonts w:ascii="Calibri" w:hAnsi="Calibri" w:cs="Calibri"/>
        </w:rPr>
        <w:t xml:space="preserve"> Revised and enhanced the current collection development policy.  </w:t>
      </w:r>
    </w:p>
    <w:p w:rsidR="00FC3923" w:rsidRPr="001C1140" w:rsidRDefault="00FC3923" w:rsidP="00FC3923">
      <w:pPr>
        <w:pStyle w:val="ListParagraph"/>
        <w:widowControl w:val="0"/>
        <w:numPr>
          <w:ilvl w:val="0"/>
          <w:numId w:val="12"/>
        </w:numPr>
        <w:autoSpaceDE w:val="0"/>
        <w:autoSpaceDN w:val="0"/>
        <w:adjustRightInd w:val="0"/>
        <w:spacing w:after="0" w:line="240" w:lineRule="auto"/>
        <w:rPr>
          <w:rFonts w:cs="Calibri"/>
          <w:sz w:val="24"/>
          <w:szCs w:val="24"/>
        </w:rPr>
      </w:pPr>
      <w:r w:rsidRPr="001C1140">
        <w:rPr>
          <w:rFonts w:cs="Calibri"/>
          <w:sz w:val="24"/>
          <w:szCs w:val="24"/>
        </w:rPr>
        <w:t>Added 28 new electronic resources for FY13</w:t>
      </w:r>
    </w:p>
    <w:p w:rsidR="00FC3923" w:rsidRPr="001C1140" w:rsidRDefault="00FC3923" w:rsidP="00FC3923">
      <w:pPr>
        <w:pStyle w:val="ListParagraph"/>
        <w:widowControl w:val="0"/>
        <w:numPr>
          <w:ilvl w:val="0"/>
          <w:numId w:val="12"/>
        </w:numPr>
        <w:autoSpaceDE w:val="0"/>
        <w:autoSpaceDN w:val="0"/>
        <w:adjustRightInd w:val="0"/>
        <w:spacing w:after="0" w:line="240" w:lineRule="auto"/>
        <w:rPr>
          <w:rFonts w:cs="Calibri"/>
          <w:sz w:val="24"/>
          <w:szCs w:val="24"/>
        </w:rPr>
      </w:pPr>
      <w:r w:rsidRPr="001C1140">
        <w:rPr>
          <w:rFonts w:cs="Calibri"/>
          <w:sz w:val="24"/>
          <w:szCs w:val="24"/>
        </w:rPr>
        <w:t>Established the Popular Reading collection </w:t>
      </w:r>
    </w:p>
    <w:p w:rsidR="00FC3923" w:rsidRPr="001C1140" w:rsidRDefault="00FC3923" w:rsidP="00FC3923">
      <w:pPr>
        <w:pStyle w:val="NormalWeb"/>
        <w:numPr>
          <w:ilvl w:val="0"/>
          <w:numId w:val="11"/>
        </w:numPr>
        <w:spacing w:before="0" w:beforeAutospacing="0" w:after="0" w:afterAutospacing="0"/>
        <w:rPr>
          <w:rFonts w:ascii="Calibri" w:hAnsi="Calibri" w:cs="Calibri"/>
        </w:rPr>
      </w:pPr>
      <w:r w:rsidRPr="001C1140">
        <w:rPr>
          <w:rFonts w:ascii="Calibri" w:eastAsia="Calibri" w:hAnsi="Calibri" w:cs="Calibri"/>
        </w:rPr>
        <w:t>Added the EBSCO A to Z tool, in order to make all resources easier to search and access.</w:t>
      </w:r>
    </w:p>
    <w:p w:rsidR="00FC3923" w:rsidRPr="00166BE6" w:rsidRDefault="00FC3923" w:rsidP="00FC3923">
      <w:pPr>
        <w:pStyle w:val="NormalWeb"/>
        <w:spacing w:before="0" w:beforeAutospacing="0" w:after="0" w:afterAutospacing="0"/>
        <w:rPr>
          <w:rFonts w:ascii="Calibri" w:eastAsia="Calibri" w:hAnsi="Calibri" w:cs="Calibri"/>
          <w:sz w:val="26"/>
          <w:szCs w:val="26"/>
        </w:rPr>
      </w:pPr>
    </w:p>
    <w:p w:rsidR="00FC3923" w:rsidRPr="001C1140" w:rsidRDefault="00FC3923" w:rsidP="00FC3923">
      <w:pPr>
        <w:pStyle w:val="NormalWeb"/>
        <w:spacing w:before="0" w:beforeAutospacing="0" w:after="0" w:afterAutospacing="0"/>
        <w:rPr>
          <w:rFonts w:ascii="Calibri" w:eastAsia="Calibri" w:hAnsi="Calibri" w:cs="Calibri"/>
          <w:b/>
        </w:rPr>
      </w:pPr>
      <w:r w:rsidRPr="001C1140">
        <w:rPr>
          <w:rFonts w:ascii="Calibri" w:eastAsia="Calibri" w:hAnsi="Calibri" w:cs="Calibri"/>
          <w:b/>
        </w:rPr>
        <w:t xml:space="preserve"> Goals for 2012-2013:</w:t>
      </w:r>
    </w:p>
    <w:p w:rsidR="00FC3923" w:rsidRPr="00166BE6" w:rsidRDefault="00FC3923" w:rsidP="00FC3923">
      <w:pPr>
        <w:pStyle w:val="NormalWeb"/>
        <w:spacing w:before="0" w:beforeAutospacing="0" w:after="0" w:afterAutospacing="0"/>
        <w:rPr>
          <w:rFonts w:ascii="Calibri" w:eastAsia="Calibri" w:hAnsi="Calibri" w:cs="Calibri"/>
          <w:sz w:val="26"/>
          <w:szCs w:val="26"/>
        </w:rPr>
      </w:pPr>
    </w:p>
    <w:p w:rsidR="00FC3923" w:rsidRPr="001C1140" w:rsidRDefault="00FC3923" w:rsidP="00FC3923">
      <w:pPr>
        <w:pStyle w:val="NormalWeb"/>
        <w:numPr>
          <w:ilvl w:val="0"/>
          <w:numId w:val="13"/>
        </w:numPr>
        <w:spacing w:before="0" w:beforeAutospacing="0" w:after="0" w:afterAutospacing="0"/>
        <w:rPr>
          <w:rFonts w:ascii="Calibri" w:eastAsia="Calibri" w:hAnsi="Calibri" w:cs="Calibri"/>
        </w:rPr>
      </w:pPr>
      <w:r w:rsidRPr="001C1140">
        <w:rPr>
          <w:rFonts w:ascii="Calibri" w:eastAsia="Calibri" w:hAnsi="Calibri" w:cs="Calibri"/>
        </w:rPr>
        <w:t>Standardize all statistical reporting.</w:t>
      </w:r>
    </w:p>
    <w:p w:rsidR="00FC3923" w:rsidRPr="001C1140" w:rsidRDefault="00FC3923" w:rsidP="00FC3923">
      <w:pPr>
        <w:pStyle w:val="NormalWeb"/>
        <w:numPr>
          <w:ilvl w:val="0"/>
          <w:numId w:val="13"/>
        </w:numPr>
        <w:spacing w:before="0" w:beforeAutospacing="0" w:after="0" w:afterAutospacing="0"/>
        <w:rPr>
          <w:rFonts w:ascii="Calibri" w:eastAsia="Calibri" w:hAnsi="Calibri" w:cs="Calibri"/>
        </w:rPr>
      </w:pPr>
      <w:r w:rsidRPr="001C1140">
        <w:rPr>
          <w:rFonts w:ascii="Calibri" w:eastAsia="Calibri" w:hAnsi="Calibri" w:cs="Calibri"/>
        </w:rPr>
        <w:t>Research and evaluate P</w:t>
      </w:r>
      <w:r w:rsidR="00D00FB2">
        <w:rPr>
          <w:rFonts w:ascii="Calibri" w:eastAsia="Calibri" w:hAnsi="Calibri" w:cs="Calibri"/>
        </w:rPr>
        <w:t xml:space="preserve">atron </w:t>
      </w:r>
      <w:r w:rsidRPr="001C1140">
        <w:rPr>
          <w:rFonts w:ascii="Calibri" w:eastAsia="Calibri" w:hAnsi="Calibri" w:cs="Calibri"/>
        </w:rPr>
        <w:t>D</w:t>
      </w:r>
      <w:r w:rsidR="00D00FB2">
        <w:rPr>
          <w:rFonts w:ascii="Calibri" w:eastAsia="Calibri" w:hAnsi="Calibri" w:cs="Calibri"/>
        </w:rPr>
        <w:t xml:space="preserve">riven </w:t>
      </w:r>
      <w:r w:rsidRPr="001C1140">
        <w:rPr>
          <w:rFonts w:ascii="Calibri" w:eastAsia="Calibri" w:hAnsi="Calibri" w:cs="Calibri"/>
        </w:rPr>
        <w:t>A</w:t>
      </w:r>
      <w:r w:rsidR="00D00FB2">
        <w:rPr>
          <w:rFonts w:ascii="Calibri" w:eastAsia="Calibri" w:hAnsi="Calibri" w:cs="Calibri"/>
        </w:rPr>
        <w:t>cquisition</w:t>
      </w:r>
      <w:r w:rsidRPr="001C1140">
        <w:rPr>
          <w:rFonts w:ascii="Calibri" w:eastAsia="Calibri" w:hAnsi="Calibri" w:cs="Calibri"/>
        </w:rPr>
        <w:t xml:space="preserve"> plans.</w:t>
      </w:r>
    </w:p>
    <w:p w:rsidR="00FC3923" w:rsidRPr="001C1140" w:rsidRDefault="00FC3923" w:rsidP="00FC3923">
      <w:pPr>
        <w:pStyle w:val="NormalWeb"/>
        <w:numPr>
          <w:ilvl w:val="0"/>
          <w:numId w:val="13"/>
        </w:numPr>
        <w:spacing w:before="0" w:beforeAutospacing="0" w:after="0" w:afterAutospacing="0"/>
        <w:rPr>
          <w:rFonts w:ascii="Calibri" w:eastAsia="Calibri" w:hAnsi="Calibri" w:cs="Calibri"/>
        </w:rPr>
      </w:pPr>
      <w:r w:rsidRPr="001C1140">
        <w:rPr>
          <w:rFonts w:ascii="Calibri" w:eastAsia="Calibri" w:hAnsi="Calibri" w:cs="Calibri"/>
        </w:rPr>
        <w:t>Establish an E Book purchase plan with our primary vendor, Baker &amp; Taylor.</w:t>
      </w:r>
    </w:p>
    <w:p w:rsidR="00FC3923" w:rsidRPr="001C1140" w:rsidRDefault="00FC3923" w:rsidP="00FC3923">
      <w:pPr>
        <w:pStyle w:val="NormalWeb"/>
        <w:numPr>
          <w:ilvl w:val="0"/>
          <w:numId w:val="13"/>
        </w:numPr>
        <w:spacing w:before="0" w:beforeAutospacing="0" w:after="0" w:afterAutospacing="0"/>
        <w:rPr>
          <w:rFonts w:ascii="Calibri" w:hAnsi="Calibri" w:cs="Calibri"/>
        </w:rPr>
      </w:pPr>
      <w:r w:rsidRPr="001C1140">
        <w:rPr>
          <w:rFonts w:ascii="Calibri" w:hAnsi="Calibri" w:cs="Calibri"/>
        </w:rPr>
        <w:t>Add at least 10,000 monographs to the collection.</w:t>
      </w:r>
    </w:p>
    <w:p w:rsidR="003E5059" w:rsidRPr="006C7D7D" w:rsidRDefault="00A91753" w:rsidP="003E5059">
      <w:pPr>
        <w:rPr>
          <w:rFonts w:cs="Calibri"/>
          <w:b/>
          <w:sz w:val="28"/>
          <w:szCs w:val="28"/>
        </w:rPr>
      </w:pPr>
      <w:r w:rsidRPr="00166BE6">
        <w:rPr>
          <w:rFonts w:cs="Calibri"/>
        </w:rPr>
        <w:br w:type="page"/>
      </w:r>
      <w:r w:rsidR="003E5059" w:rsidRPr="006C7D7D">
        <w:rPr>
          <w:rFonts w:cs="Calibri"/>
          <w:b/>
        </w:rPr>
        <w:t>Library Information Systems</w:t>
      </w:r>
    </w:p>
    <w:p w:rsidR="003E5059" w:rsidRPr="006C7D7D" w:rsidRDefault="003E5059" w:rsidP="003E5059">
      <w:pPr>
        <w:rPr>
          <w:rFonts w:cs="Calibri"/>
        </w:rPr>
      </w:pPr>
    </w:p>
    <w:p w:rsidR="003E5059" w:rsidRPr="006C7D7D" w:rsidRDefault="003E5059" w:rsidP="003E5059">
      <w:pPr>
        <w:rPr>
          <w:rFonts w:cs="Calibri"/>
        </w:rPr>
      </w:pPr>
      <w:r w:rsidRPr="006C7D7D">
        <w:rPr>
          <w:rFonts w:cs="Calibri"/>
        </w:rPr>
        <w:t>FY2012 was another year of expansion for the Library Information Systems Department. The department added more computers to both the A and B Building Information Commons, and usage of all three Information Commons continued to soar.</w:t>
      </w:r>
    </w:p>
    <w:p w:rsidR="003E5059" w:rsidRPr="006C7D7D" w:rsidRDefault="003E5059" w:rsidP="003E5059">
      <w:pPr>
        <w:rPr>
          <w:rFonts w:cs="Calibri"/>
        </w:rPr>
      </w:pPr>
    </w:p>
    <w:p w:rsidR="003E5059" w:rsidRPr="006C7D7D" w:rsidRDefault="003E5059" w:rsidP="003E5059">
      <w:pPr>
        <w:rPr>
          <w:rFonts w:cs="Calibri"/>
          <w:b/>
        </w:rPr>
      </w:pPr>
      <w:r w:rsidRPr="006C7D7D">
        <w:rPr>
          <w:rFonts w:cs="Calibri"/>
          <w:b/>
        </w:rPr>
        <w:t>Activities for 2011-2012:</w:t>
      </w:r>
    </w:p>
    <w:p w:rsidR="003E5059" w:rsidRPr="006C7D7D" w:rsidRDefault="003E5059" w:rsidP="003E5059">
      <w:pPr>
        <w:rPr>
          <w:rFonts w:cs="Calibri"/>
        </w:rPr>
      </w:pPr>
    </w:p>
    <w:p w:rsidR="003E5059" w:rsidRPr="006C7D7D" w:rsidRDefault="003E5059" w:rsidP="003E5059">
      <w:pPr>
        <w:numPr>
          <w:ilvl w:val="0"/>
          <w:numId w:val="4"/>
        </w:numPr>
        <w:spacing w:after="0" w:line="240" w:lineRule="auto"/>
        <w:rPr>
          <w:rFonts w:cs="Calibri"/>
        </w:rPr>
      </w:pPr>
      <w:r w:rsidRPr="006C7D7D">
        <w:rPr>
          <w:rFonts w:cs="Calibri"/>
          <w:b/>
        </w:rPr>
        <w:t>Information Commons</w:t>
      </w:r>
      <w:r w:rsidRPr="006C7D7D">
        <w:rPr>
          <w:rFonts w:cs="Calibri"/>
        </w:rPr>
        <w:t xml:space="preserve"> –</w:t>
      </w:r>
      <w:r w:rsidR="00D50FDE">
        <w:rPr>
          <w:rFonts w:cs="Calibri"/>
        </w:rPr>
        <w:t>M</w:t>
      </w:r>
      <w:r w:rsidRPr="006C7D7D">
        <w:rPr>
          <w:rFonts w:cs="Calibri"/>
        </w:rPr>
        <w:t>ore computers</w:t>
      </w:r>
      <w:r w:rsidR="00D50FDE">
        <w:rPr>
          <w:rFonts w:cs="Calibri"/>
        </w:rPr>
        <w:t xml:space="preserve"> were added</w:t>
      </w:r>
      <w:r w:rsidRPr="006C7D7D">
        <w:rPr>
          <w:rFonts w:cs="Calibri"/>
        </w:rPr>
        <w:t xml:space="preserve"> to the Den and to B Building. Every available data port in both spaces is now in use and </w:t>
      </w:r>
      <w:r w:rsidR="00D50FDE">
        <w:rPr>
          <w:rFonts w:cs="Calibri"/>
        </w:rPr>
        <w:t>there is no room to add more computers in any of the Information Commons</w:t>
      </w:r>
      <w:r w:rsidRPr="006C7D7D">
        <w:rPr>
          <w:rFonts w:cs="Calibri"/>
        </w:rPr>
        <w:t xml:space="preserve"> areas.</w:t>
      </w:r>
    </w:p>
    <w:p w:rsidR="003E5059" w:rsidRPr="006C7D7D" w:rsidRDefault="003E5059" w:rsidP="003E5059">
      <w:pPr>
        <w:ind w:left="720"/>
        <w:rPr>
          <w:rFonts w:cs="Calibri"/>
        </w:rPr>
      </w:pPr>
    </w:p>
    <w:p w:rsidR="003E5059" w:rsidRPr="006C7D7D" w:rsidRDefault="003E5059" w:rsidP="003E5059">
      <w:pPr>
        <w:ind w:left="720"/>
        <w:rPr>
          <w:rFonts w:cs="Calibri"/>
        </w:rPr>
      </w:pPr>
      <w:r w:rsidRPr="006C7D7D">
        <w:rPr>
          <w:rFonts w:cs="Calibri"/>
        </w:rPr>
        <w:t>Head counts and Help Desk activity have increased enormously, without any corresponding increase in professional staffing:</w:t>
      </w:r>
    </w:p>
    <w:p w:rsidR="003E5059" w:rsidRPr="006C7D7D" w:rsidRDefault="003E5059" w:rsidP="003E5059">
      <w:pPr>
        <w:ind w:left="720"/>
        <w:rPr>
          <w:rFont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159"/>
        <w:gridCol w:w="1184"/>
        <w:gridCol w:w="1142"/>
        <w:gridCol w:w="1184"/>
        <w:gridCol w:w="1141"/>
        <w:gridCol w:w="1184"/>
      </w:tblGrid>
      <w:tr w:rsidR="003E5059" w:rsidRPr="006C7D7D" w:rsidTr="00D50FDE">
        <w:tc>
          <w:tcPr>
            <w:tcW w:w="1182"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Year</w:t>
            </w:r>
          </w:p>
        </w:tc>
        <w:tc>
          <w:tcPr>
            <w:tcW w:w="1159"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Head Count</w:t>
            </w:r>
          </w:p>
        </w:tc>
        <w:tc>
          <w:tcPr>
            <w:tcW w:w="1184"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Change Since Previous</w:t>
            </w:r>
          </w:p>
        </w:tc>
        <w:tc>
          <w:tcPr>
            <w:tcW w:w="1142"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Desk Activity</w:t>
            </w:r>
          </w:p>
        </w:tc>
        <w:tc>
          <w:tcPr>
            <w:tcW w:w="1184"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Change Since Previous</w:t>
            </w:r>
          </w:p>
        </w:tc>
        <w:tc>
          <w:tcPr>
            <w:tcW w:w="1141"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Weekly Staff Hours</w:t>
            </w:r>
          </w:p>
        </w:tc>
        <w:tc>
          <w:tcPr>
            <w:tcW w:w="1184" w:type="dxa"/>
            <w:shd w:val="pct50" w:color="auto" w:fill="auto"/>
            <w:vAlign w:val="center"/>
          </w:tcPr>
          <w:p w:rsidR="003E5059" w:rsidRPr="006C7D7D" w:rsidRDefault="003E5059" w:rsidP="003E5059">
            <w:pPr>
              <w:jc w:val="center"/>
              <w:rPr>
                <w:rFonts w:cs="Calibri"/>
                <w:color w:val="FFFFFF"/>
              </w:rPr>
            </w:pPr>
            <w:r w:rsidRPr="006C7D7D">
              <w:rPr>
                <w:rFonts w:cs="Calibri"/>
                <w:color w:val="FFFFFF"/>
              </w:rPr>
              <w:t>Change Since Previous</w:t>
            </w:r>
          </w:p>
        </w:tc>
      </w:tr>
      <w:tr w:rsidR="003E5059" w:rsidRPr="006C7D7D" w:rsidTr="00D50FDE">
        <w:tc>
          <w:tcPr>
            <w:tcW w:w="1182" w:type="dxa"/>
            <w:shd w:val="clear" w:color="auto" w:fill="auto"/>
          </w:tcPr>
          <w:p w:rsidR="003E5059" w:rsidRPr="006C7D7D" w:rsidRDefault="003E5059" w:rsidP="003E5059">
            <w:pPr>
              <w:jc w:val="right"/>
              <w:rPr>
                <w:rFonts w:cs="Calibri"/>
              </w:rPr>
            </w:pPr>
            <w:r w:rsidRPr="006C7D7D">
              <w:rPr>
                <w:rFonts w:cs="Calibri"/>
              </w:rPr>
              <w:t>FY2012</w:t>
            </w:r>
          </w:p>
        </w:tc>
        <w:tc>
          <w:tcPr>
            <w:tcW w:w="1159" w:type="dxa"/>
            <w:shd w:val="clear" w:color="auto" w:fill="auto"/>
          </w:tcPr>
          <w:p w:rsidR="003E5059" w:rsidRPr="006C7D7D" w:rsidRDefault="003E5059" w:rsidP="003E5059">
            <w:pPr>
              <w:jc w:val="right"/>
              <w:rPr>
                <w:rFonts w:cs="Calibri"/>
              </w:rPr>
            </w:pPr>
            <w:r w:rsidRPr="006C7D7D">
              <w:rPr>
                <w:rFonts w:cs="Calibri"/>
              </w:rPr>
              <w:t>268,898</w:t>
            </w:r>
          </w:p>
        </w:tc>
        <w:tc>
          <w:tcPr>
            <w:tcW w:w="1184" w:type="dxa"/>
            <w:shd w:val="clear" w:color="auto" w:fill="auto"/>
          </w:tcPr>
          <w:p w:rsidR="003E5059" w:rsidRPr="006C7D7D" w:rsidRDefault="003E5059" w:rsidP="003E5059">
            <w:pPr>
              <w:jc w:val="right"/>
              <w:rPr>
                <w:rFonts w:cs="Calibri"/>
              </w:rPr>
            </w:pPr>
            <w:r w:rsidRPr="006C7D7D">
              <w:rPr>
                <w:rFonts w:cs="Calibri"/>
              </w:rPr>
              <w:t>+28%</w:t>
            </w:r>
          </w:p>
        </w:tc>
        <w:tc>
          <w:tcPr>
            <w:tcW w:w="1142" w:type="dxa"/>
            <w:shd w:val="clear" w:color="auto" w:fill="auto"/>
          </w:tcPr>
          <w:p w:rsidR="003E5059" w:rsidRPr="006C7D7D" w:rsidRDefault="003E5059" w:rsidP="003E5059">
            <w:pPr>
              <w:jc w:val="right"/>
              <w:rPr>
                <w:rFonts w:cs="Calibri"/>
              </w:rPr>
            </w:pPr>
            <w:r w:rsidRPr="006C7D7D">
              <w:rPr>
                <w:rFonts w:cs="Calibri"/>
              </w:rPr>
              <w:t>14,047</w:t>
            </w:r>
          </w:p>
        </w:tc>
        <w:tc>
          <w:tcPr>
            <w:tcW w:w="1184" w:type="dxa"/>
            <w:shd w:val="clear" w:color="auto" w:fill="auto"/>
          </w:tcPr>
          <w:p w:rsidR="003E5059" w:rsidRPr="006C7D7D" w:rsidRDefault="003E5059" w:rsidP="003E5059">
            <w:pPr>
              <w:jc w:val="right"/>
              <w:rPr>
                <w:rFonts w:cs="Calibri"/>
              </w:rPr>
            </w:pPr>
            <w:r w:rsidRPr="006C7D7D">
              <w:rPr>
                <w:rFonts w:cs="Calibri"/>
              </w:rPr>
              <w:t>+87%</w:t>
            </w:r>
          </w:p>
        </w:tc>
        <w:tc>
          <w:tcPr>
            <w:tcW w:w="1141" w:type="dxa"/>
            <w:shd w:val="clear" w:color="auto" w:fill="auto"/>
          </w:tcPr>
          <w:p w:rsidR="003E5059" w:rsidRPr="006C7D7D" w:rsidRDefault="003E5059" w:rsidP="003E5059">
            <w:pPr>
              <w:jc w:val="right"/>
              <w:rPr>
                <w:rFonts w:cs="Calibri"/>
              </w:rPr>
            </w:pPr>
            <w:r w:rsidRPr="006C7D7D">
              <w:rPr>
                <w:rFonts w:cs="Calibri"/>
              </w:rPr>
              <w:t>118</w:t>
            </w:r>
          </w:p>
        </w:tc>
        <w:tc>
          <w:tcPr>
            <w:tcW w:w="1184" w:type="dxa"/>
            <w:shd w:val="clear" w:color="auto" w:fill="auto"/>
          </w:tcPr>
          <w:p w:rsidR="003E5059" w:rsidRPr="006C7D7D" w:rsidRDefault="003E5059" w:rsidP="003E5059">
            <w:pPr>
              <w:jc w:val="right"/>
              <w:rPr>
                <w:rFonts w:cs="Calibri"/>
              </w:rPr>
            </w:pPr>
            <w:r w:rsidRPr="006C7D7D">
              <w:rPr>
                <w:rFonts w:cs="Calibri"/>
              </w:rPr>
              <w:t>0</w:t>
            </w:r>
          </w:p>
        </w:tc>
      </w:tr>
      <w:tr w:rsidR="003E5059" w:rsidRPr="006C7D7D" w:rsidTr="00D50FDE">
        <w:tc>
          <w:tcPr>
            <w:tcW w:w="1182" w:type="dxa"/>
            <w:shd w:val="clear" w:color="auto" w:fill="auto"/>
          </w:tcPr>
          <w:p w:rsidR="003E5059" w:rsidRPr="006C7D7D" w:rsidRDefault="003E5059" w:rsidP="003E5059">
            <w:pPr>
              <w:jc w:val="right"/>
              <w:rPr>
                <w:rFonts w:cs="Calibri"/>
              </w:rPr>
            </w:pPr>
            <w:r w:rsidRPr="006C7D7D">
              <w:rPr>
                <w:rFonts w:cs="Calibri"/>
              </w:rPr>
              <w:t>FY2011</w:t>
            </w:r>
          </w:p>
        </w:tc>
        <w:tc>
          <w:tcPr>
            <w:tcW w:w="1159" w:type="dxa"/>
            <w:shd w:val="clear" w:color="auto" w:fill="auto"/>
          </w:tcPr>
          <w:p w:rsidR="003E5059" w:rsidRPr="006C7D7D" w:rsidRDefault="003E5059" w:rsidP="003E5059">
            <w:pPr>
              <w:jc w:val="right"/>
              <w:rPr>
                <w:rFonts w:cs="Calibri"/>
              </w:rPr>
            </w:pPr>
            <w:r w:rsidRPr="006C7D7D">
              <w:rPr>
                <w:rFonts w:cs="Calibri"/>
              </w:rPr>
              <w:t>210,762</w:t>
            </w:r>
          </w:p>
        </w:tc>
        <w:tc>
          <w:tcPr>
            <w:tcW w:w="1184" w:type="dxa"/>
            <w:shd w:val="clear" w:color="auto" w:fill="auto"/>
          </w:tcPr>
          <w:p w:rsidR="003E5059" w:rsidRPr="006C7D7D" w:rsidRDefault="003E5059" w:rsidP="003E5059">
            <w:pPr>
              <w:jc w:val="right"/>
              <w:rPr>
                <w:rFonts w:cs="Calibri"/>
              </w:rPr>
            </w:pPr>
            <w:r w:rsidRPr="006C7D7D">
              <w:rPr>
                <w:rFonts w:cs="Calibri"/>
              </w:rPr>
              <w:t>+100%</w:t>
            </w:r>
          </w:p>
        </w:tc>
        <w:tc>
          <w:tcPr>
            <w:tcW w:w="1142" w:type="dxa"/>
            <w:shd w:val="clear" w:color="auto" w:fill="auto"/>
          </w:tcPr>
          <w:p w:rsidR="003E5059" w:rsidRPr="006C7D7D" w:rsidRDefault="003E5059" w:rsidP="003E5059">
            <w:pPr>
              <w:jc w:val="right"/>
              <w:rPr>
                <w:rFonts w:cs="Calibri"/>
              </w:rPr>
            </w:pPr>
            <w:r w:rsidRPr="006C7D7D">
              <w:rPr>
                <w:rFonts w:cs="Calibri"/>
              </w:rPr>
              <w:t>7,531</w:t>
            </w:r>
          </w:p>
        </w:tc>
        <w:tc>
          <w:tcPr>
            <w:tcW w:w="1184" w:type="dxa"/>
            <w:shd w:val="clear" w:color="auto" w:fill="auto"/>
          </w:tcPr>
          <w:p w:rsidR="003E5059" w:rsidRPr="006C7D7D" w:rsidRDefault="003E5059" w:rsidP="003E5059">
            <w:pPr>
              <w:jc w:val="right"/>
              <w:rPr>
                <w:rFonts w:cs="Calibri"/>
              </w:rPr>
            </w:pPr>
            <w:r w:rsidRPr="006C7D7D">
              <w:rPr>
                <w:rFonts w:cs="Calibri"/>
              </w:rPr>
              <w:t>-15%</w:t>
            </w:r>
          </w:p>
        </w:tc>
        <w:tc>
          <w:tcPr>
            <w:tcW w:w="1141" w:type="dxa"/>
            <w:shd w:val="clear" w:color="auto" w:fill="auto"/>
          </w:tcPr>
          <w:p w:rsidR="003E5059" w:rsidRPr="006C7D7D" w:rsidRDefault="003E5059" w:rsidP="003E5059">
            <w:pPr>
              <w:jc w:val="right"/>
              <w:rPr>
                <w:rFonts w:cs="Calibri"/>
              </w:rPr>
            </w:pPr>
            <w:r w:rsidRPr="006C7D7D">
              <w:rPr>
                <w:rFonts w:cs="Calibri"/>
              </w:rPr>
              <w:t>118</w:t>
            </w:r>
          </w:p>
        </w:tc>
        <w:tc>
          <w:tcPr>
            <w:tcW w:w="1184" w:type="dxa"/>
            <w:shd w:val="clear" w:color="auto" w:fill="auto"/>
          </w:tcPr>
          <w:p w:rsidR="003E5059" w:rsidRPr="006C7D7D" w:rsidRDefault="003E5059" w:rsidP="003E5059">
            <w:pPr>
              <w:jc w:val="right"/>
              <w:rPr>
                <w:rFonts w:cs="Calibri"/>
              </w:rPr>
            </w:pPr>
            <w:r w:rsidRPr="006C7D7D">
              <w:rPr>
                <w:rFonts w:cs="Calibri"/>
              </w:rPr>
              <w:t>0</w:t>
            </w:r>
          </w:p>
        </w:tc>
      </w:tr>
      <w:tr w:rsidR="003E5059" w:rsidRPr="006C7D7D" w:rsidTr="00D50FDE">
        <w:tc>
          <w:tcPr>
            <w:tcW w:w="1182" w:type="dxa"/>
            <w:shd w:val="clear" w:color="auto" w:fill="auto"/>
          </w:tcPr>
          <w:p w:rsidR="003E5059" w:rsidRPr="006C7D7D" w:rsidRDefault="003E5059" w:rsidP="003E5059">
            <w:pPr>
              <w:jc w:val="right"/>
              <w:rPr>
                <w:rFonts w:cs="Calibri"/>
              </w:rPr>
            </w:pPr>
            <w:r w:rsidRPr="006C7D7D">
              <w:rPr>
                <w:rFonts w:cs="Calibri"/>
              </w:rPr>
              <w:t>FY2010</w:t>
            </w:r>
          </w:p>
        </w:tc>
        <w:tc>
          <w:tcPr>
            <w:tcW w:w="1159" w:type="dxa"/>
            <w:shd w:val="clear" w:color="auto" w:fill="auto"/>
          </w:tcPr>
          <w:p w:rsidR="003E5059" w:rsidRPr="006C7D7D" w:rsidRDefault="003E5059" w:rsidP="003E5059">
            <w:pPr>
              <w:jc w:val="right"/>
              <w:rPr>
                <w:rFonts w:cs="Calibri"/>
              </w:rPr>
            </w:pPr>
            <w:r w:rsidRPr="006C7D7D">
              <w:rPr>
                <w:rFonts w:cs="Calibri"/>
              </w:rPr>
              <w:t>105,154</w:t>
            </w:r>
          </w:p>
        </w:tc>
        <w:tc>
          <w:tcPr>
            <w:tcW w:w="1184" w:type="dxa"/>
            <w:shd w:val="clear" w:color="auto" w:fill="auto"/>
          </w:tcPr>
          <w:p w:rsidR="003E5059" w:rsidRPr="006C7D7D" w:rsidRDefault="003E5059" w:rsidP="003E5059">
            <w:pPr>
              <w:jc w:val="right"/>
              <w:rPr>
                <w:rFonts w:cs="Calibri"/>
              </w:rPr>
            </w:pPr>
            <w:r w:rsidRPr="006C7D7D">
              <w:rPr>
                <w:rFonts w:cs="Calibri"/>
              </w:rPr>
              <w:t>+52%</w:t>
            </w:r>
          </w:p>
        </w:tc>
        <w:tc>
          <w:tcPr>
            <w:tcW w:w="1142" w:type="dxa"/>
            <w:shd w:val="clear" w:color="auto" w:fill="auto"/>
          </w:tcPr>
          <w:p w:rsidR="003E5059" w:rsidRPr="006C7D7D" w:rsidRDefault="003E5059" w:rsidP="003E5059">
            <w:pPr>
              <w:jc w:val="right"/>
              <w:rPr>
                <w:rFonts w:cs="Calibri"/>
              </w:rPr>
            </w:pPr>
            <w:r w:rsidRPr="006C7D7D">
              <w:rPr>
                <w:rFonts w:cs="Calibri"/>
              </w:rPr>
              <w:t>8,858</w:t>
            </w:r>
          </w:p>
        </w:tc>
        <w:tc>
          <w:tcPr>
            <w:tcW w:w="1184" w:type="dxa"/>
            <w:shd w:val="clear" w:color="auto" w:fill="auto"/>
          </w:tcPr>
          <w:p w:rsidR="003E5059" w:rsidRPr="006C7D7D" w:rsidRDefault="003E5059" w:rsidP="003E5059">
            <w:pPr>
              <w:jc w:val="right"/>
              <w:rPr>
                <w:rFonts w:cs="Calibri"/>
              </w:rPr>
            </w:pPr>
            <w:r w:rsidRPr="006C7D7D">
              <w:rPr>
                <w:rFonts w:cs="Calibri"/>
              </w:rPr>
              <w:t>+38%</w:t>
            </w:r>
          </w:p>
        </w:tc>
        <w:tc>
          <w:tcPr>
            <w:tcW w:w="1141" w:type="dxa"/>
            <w:shd w:val="clear" w:color="auto" w:fill="auto"/>
          </w:tcPr>
          <w:p w:rsidR="003E5059" w:rsidRPr="006C7D7D" w:rsidRDefault="003E5059" w:rsidP="003E5059">
            <w:pPr>
              <w:jc w:val="right"/>
              <w:rPr>
                <w:rFonts w:cs="Calibri"/>
              </w:rPr>
            </w:pPr>
            <w:r w:rsidRPr="006C7D7D">
              <w:rPr>
                <w:rFonts w:cs="Calibri"/>
              </w:rPr>
              <w:t>118</w:t>
            </w:r>
          </w:p>
        </w:tc>
        <w:tc>
          <w:tcPr>
            <w:tcW w:w="1184" w:type="dxa"/>
            <w:shd w:val="clear" w:color="auto" w:fill="auto"/>
          </w:tcPr>
          <w:p w:rsidR="003E5059" w:rsidRPr="006C7D7D" w:rsidRDefault="003E5059" w:rsidP="003E5059">
            <w:pPr>
              <w:jc w:val="right"/>
              <w:rPr>
                <w:rFonts w:cs="Calibri"/>
              </w:rPr>
            </w:pPr>
            <w:r w:rsidRPr="006C7D7D">
              <w:rPr>
                <w:rFonts w:cs="Calibri"/>
              </w:rPr>
              <w:t>0</w:t>
            </w:r>
          </w:p>
        </w:tc>
      </w:tr>
      <w:tr w:rsidR="003E5059" w:rsidRPr="006C7D7D" w:rsidTr="00D50FDE">
        <w:tc>
          <w:tcPr>
            <w:tcW w:w="1182" w:type="dxa"/>
            <w:shd w:val="clear" w:color="auto" w:fill="auto"/>
          </w:tcPr>
          <w:p w:rsidR="003E5059" w:rsidRPr="006C7D7D" w:rsidRDefault="003E5059" w:rsidP="003E5059">
            <w:pPr>
              <w:jc w:val="right"/>
              <w:rPr>
                <w:rFonts w:cs="Calibri"/>
              </w:rPr>
            </w:pPr>
            <w:r w:rsidRPr="006C7D7D">
              <w:rPr>
                <w:rFonts w:cs="Calibri"/>
              </w:rPr>
              <w:t>FY2009</w:t>
            </w:r>
          </w:p>
        </w:tc>
        <w:tc>
          <w:tcPr>
            <w:tcW w:w="1159" w:type="dxa"/>
            <w:shd w:val="clear" w:color="auto" w:fill="auto"/>
          </w:tcPr>
          <w:p w:rsidR="003E5059" w:rsidRPr="006C7D7D" w:rsidRDefault="003E5059" w:rsidP="003E5059">
            <w:pPr>
              <w:jc w:val="right"/>
              <w:rPr>
                <w:rFonts w:cs="Calibri"/>
              </w:rPr>
            </w:pPr>
            <w:r w:rsidRPr="006C7D7D">
              <w:rPr>
                <w:rFonts w:cs="Calibri"/>
              </w:rPr>
              <w:t>69,099</w:t>
            </w:r>
          </w:p>
        </w:tc>
        <w:tc>
          <w:tcPr>
            <w:tcW w:w="1184" w:type="dxa"/>
            <w:shd w:val="clear" w:color="auto" w:fill="auto"/>
          </w:tcPr>
          <w:p w:rsidR="003E5059" w:rsidRPr="006C7D7D" w:rsidRDefault="003E5059" w:rsidP="003E5059">
            <w:pPr>
              <w:jc w:val="right"/>
              <w:rPr>
                <w:rFonts w:cs="Calibri"/>
              </w:rPr>
            </w:pPr>
            <w:r w:rsidRPr="006C7D7D">
              <w:rPr>
                <w:rFonts w:cs="Calibri"/>
              </w:rPr>
              <w:t>+41%</w:t>
            </w:r>
          </w:p>
        </w:tc>
        <w:tc>
          <w:tcPr>
            <w:tcW w:w="1142" w:type="dxa"/>
            <w:shd w:val="clear" w:color="auto" w:fill="auto"/>
          </w:tcPr>
          <w:p w:rsidR="003E5059" w:rsidRPr="006C7D7D" w:rsidRDefault="003E5059" w:rsidP="003E5059">
            <w:pPr>
              <w:jc w:val="right"/>
              <w:rPr>
                <w:rFonts w:cs="Calibri"/>
              </w:rPr>
            </w:pPr>
            <w:r w:rsidRPr="006C7D7D">
              <w:rPr>
                <w:rFonts w:cs="Calibri"/>
              </w:rPr>
              <w:t>6,401</w:t>
            </w:r>
          </w:p>
        </w:tc>
        <w:tc>
          <w:tcPr>
            <w:tcW w:w="1184" w:type="dxa"/>
            <w:shd w:val="clear" w:color="auto" w:fill="auto"/>
          </w:tcPr>
          <w:p w:rsidR="003E5059" w:rsidRPr="006C7D7D" w:rsidRDefault="003E5059" w:rsidP="003E5059">
            <w:pPr>
              <w:jc w:val="right"/>
              <w:rPr>
                <w:rFonts w:cs="Calibri"/>
              </w:rPr>
            </w:pPr>
            <w:r w:rsidRPr="006C7D7D">
              <w:rPr>
                <w:rFonts w:cs="Calibri"/>
              </w:rPr>
              <w:t>+143%</w:t>
            </w:r>
          </w:p>
        </w:tc>
        <w:tc>
          <w:tcPr>
            <w:tcW w:w="1141" w:type="dxa"/>
            <w:shd w:val="clear" w:color="auto" w:fill="auto"/>
          </w:tcPr>
          <w:p w:rsidR="003E5059" w:rsidRPr="006C7D7D" w:rsidRDefault="003E5059" w:rsidP="003E5059">
            <w:pPr>
              <w:jc w:val="right"/>
              <w:rPr>
                <w:rFonts w:cs="Calibri"/>
              </w:rPr>
            </w:pPr>
            <w:r w:rsidRPr="006C7D7D">
              <w:rPr>
                <w:rFonts w:cs="Calibri"/>
              </w:rPr>
              <w:t>118</w:t>
            </w:r>
          </w:p>
        </w:tc>
        <w:tc>
          <w:tcPr>
            <w:tcW w:w="1184" w:type="dxa"/>
            <w:shd w:val="clear" w:color="auto" w:fill="auto"/>
          </w:tcPr>
          <w:p w:rsidR="003E5059" w:rsidRPr="006C7D7D" w:rsidRDefault="003E5059" w:rsidP="003E5059">
            <w:pPr>
              <w:jc w:val="right"/>
              <w:rPr>
                <w:rFonts w:cs="Calibri"/>
              </w:rPr>
            </w:pPr>
            <w:r w:rsidRPr="006C7D7D">
              <w:rPr>
                <w:rFonts w:cs="Calibri"/>
              </w:rPr>
              <w:t>0</w:t>
            </w:r>
          </w:p>
        </w:tc>
      </w:tr>
      <w:tr w:rsidR="003E5059" w:rsidRPr="006C7D7D" w:rsidTr="00D50FDE">
        <w:tc>
          <w:tcPr>
            <w:tcW w:w="1182" w:type="dxa"/>
            <w:shd w:val="clear" w:color="auto" w:fill="auto"/>
          </w:tcPr>
          <w:p w:rsidR="003E5059" w:rsidRPr="006C7D7D" w:rsidRDefault="003E5059" w:rsidP="003E5059">
            <w:pPr>
              <w:jc w:val="right"/>
              <w:rPr>
                <w:rFonts w:cs="Calibri"/>
              </w:rPr>
            </w:pPr>
            <w:r w:rsidRPr="006C7D7D">
              <w:rPr>
                <w:rFonts w:cs="Calibri"/>
              </w:rPr>
              <w:t>FY2008</w:t>
            </w:r>
          </w:p>
        </w:tc>
        <w:tc>
          <w:tcPr>
            <w:tcW w:w="1159" w:type="dxa"/>
            <w:shd w:val="clear" w:color="auto" w:fill="auto"/>
          </w:tcPr>
          <w:p w:rsidR="003E5059" w:rsidRPr="006C7D7D" w:rsidRDefault="003E5059" w:rsidP="003E5059">
            <w:pPr>
              <w:jc w:val="right"/>
              <w:rPr>
                <w:rFonts w:cs="Calibri"/>
              </w:rPr>
            </w:pPr>
            <w:r w:rsidRPr="006C7D7D">
              <w:rPr>
                <w:rFonts w:cs="Calibri"/>
              </w:rPr>
              <w:t>48,946</w:t>
            </w:r>
          </w:p>
        </w:tc>
        <w:tc>
          <w:tcPr>
            <w:tcW w:w="1184" w:type="dxa"/>
            <w:shd w:val="clear" w:color="auto" w:fill="auto"/>
          </w:tcPr>
          <w:p w:rsidR="003E5059" w:rsidRPr="006C7D7D" w:rsidRDefault="003E5059" w:rsidP="003E5059">
            <w:pPr>
              <w:jc w:val="right"/>
              <w:rPr>
                <w:rFonts w:cs="Calibri"/>
              </w:rPr>
            </w:pPr>
            <w:r w:rsidRPr="006C7D7D">
              <w:rPr>
                <w:rFonts w:cs="Calibri"/>
              </w:rPr>
              <w:t>NA</w:t>
            </w:r>
          </w:p>
        </w:tc>
        <w:tc>
          <w:tcPr>
            <w:tcW w:w="1142" w:type="dxa"/>
            <w:shd w:val="clear" w:color="auto" w:fill="auto"/>
          </w:tcPr>
          <w:p w:rsidR="003E5059" w:rsidRPr="006C7D7D" w:rsidRDefault="003E5059" w:rsidP="003E5059">
            <w:pPr>
              <w:jc w:val="right"/>
              <w:rPr>
                <w:rFonts w:cs="Calibri"/>
              </w:rPr>
            </w:pPr>
            <w:r w:rsidRPr="006C7D7D">
              <w:rPr>
                <w:rFonts w:cs="Calibri"/>
              </w:rPr>
              <w:t>2,636</w:t>
            </w:r>
          </w:p>
        </w:tc>
        <w:tc>
          <w:tcPr>
            <w:tcW w:w="1184" w:type="dxa"/>
            <w:shd w:val="clear" w:color="auto" w:fill="auto"/>
          </w:tcPr>
          <w:p w:rsidR="003E5059" w:rsidRPr="006C7D7D" w:rsidRDefault="003E5059" w:rsidP="003E5059">
            <w:pPr>
              <w:jc w:val="right"/>
              <w:rPr>
                <w:rFonts w:cs="Calibri"/>
              </w:rPr>
            </w:pPr>
            <w:r w:rsidRPr="006C7D7D">
              <w:rPr>
                <w:rFonts w:cs="Calibri"/>
              </w:rPr>
              <w:t>NA</w:t>
            </w:r>
          </w:p>
        </w:tc>
        <w:tc>
          <w:tcPr>
            <w:tcW w:w="1141" w:type="dxa"/>
            <w:shd w:val="clear" w:color="auto" w:fill="auto"/>
          </w:tcPr>
          <w:p w:rsidR="003E5059" w:rsidRPr="006C7D7D" w:rsidRDefault="003E5059" w:rsidP="003E5059">
            <w:pPr>
              <w:jc w:val="right"/>
              <w:rPr>
                <w:rFonts w:cs="Calibri"/>
              </w:rPr>
            </w:pPr>
            <w:r w:rsidRPr="006C7D7D">
              <w:rPr>
                <w:rFonts w:cs="Calibri"/>
              </w:rPr>
              <w:t>118</w:t>
            </w:r>
          </w:p>
        </w:tc>
        <w:tc>
          <w:tcPr>
            <w:tcW w:w="1184" w:type="dxa"/>
            <w:shd w:val="clear" w:color="auto" w:fill="auto"/>
          </w:tcPr>
          <w:p w:rsidR="003E5059" w:rsidRPr="006C7D7D" w:rsidRDefault="003E5059" w:rsidP="003E5059">
            <w:pPr>
              <w:jc w:val="right"/>
              <w:rPr>
                <w:rFonts w:cs="Calibri"/>
              </w:rPr>
            </w:pPr>
            <w:r w:rsidRPr="006C7D7D">
              <w:rPr>
                <w:rFonts w:cs="Calibri"/>
              </w:rPr>
              <w:t>+19%</w:t>
            </w:r>
          </w:p>
        </w:tc>
      </w:tr>
    </w:tbl>
    <w:p w:rsidR="003E5059" w:rsidRPr="006C7D7D" w:rsidRDefault="003E5059" w:rsidP="003E5059">
      <w:pPr>
        <w:ind w:left="720"/>
        <w:rPr>
          <w:rFonts w:cs="Calibri"/>
        </w:rPr>
      </w:pPr>
    </w:p>
    <w:p w:rsidR="003E5059" w:rsidRPr="006C7D7D" w:rsidRDefault="003E5059" w:rsidP="003E5059">
      <w:pPr>
        <w:ind w:left="720"/>
        <w:rPr>
          <w:rFonts w:cs="Calibri"/>
        </w:rPr>
      </w:pPr>
    </w:p>
    <w:p w:rsidR="003E5059" w:rsidRDefault="003E5059" w:rsidP="003E5059">
      <w:pPr>
        <w:numPr>
          <w:ilvl w:val="0"/>
          <w:numId w:val="4"/>
        </w:numPr>
        <w:spacing w:after="0" w:line="240" w:lineRule="auto"/>
        <w:rPr>
          <w:rFonts w:cs="Calibri"/>
        </w:rPr>
      </w:pPr>
      <w:r w:rsidRPr="006C7D7D">
        <w:rPr>
          <w:rFonts w:cs="Calibri"/>
          <w:b/>
        </w:rPr>
        <w:t xml:space="preserve">Staffing </w:t>
      </w:r>
      <w:r w:rsidRPr="006C7D7D">
        <w:rPr>
          <w:rFonts w:cs="Calibri"/>
        </w:rPr>
        <w:t>– The department was unable to add any staff this year and continues to operate woefully understaffed.</w:t>
      </w:r>
    </w:p>
    <w:p w:rsidR="00D50FDE" w:rsidRDefault="00D50FDE" w:rsidP="00D50FDE">
      <w:pPr>
        <w:spacing w:after="0" w:line="240" w:lineRule="auto"/>
        <w:rPr>
          <w:rFonts w:cs="Calibri"/>
        </w:rPr>
      </w:pPr>
    </w:p>
    <w:p w:rsidR="00D50FDE" w:rsidRPr="006C7D7D" w:rsidRDefault="00D50FDE" w:rsidP="00D50FDE">
      <w:pPr>
        <w:spacing w:after="0" w:line="240" w:lineRule="auto"/>
        <w:rPr>
          <w:rFonts w:cs="Calibri"/>
        </w:rPr>
      </w:pPr>
    </w:p>
    <w:p w:rsidR="003E5059" w:rsidRPr="006C7D7D" w:rsidRDefault="003E5059" w:rsidP="003E5059">
      <w:pPr>
        <w:numPr>
          <w:ilvl w:val="0"/>
          <w:numId w:val="4"/>
        </w:numPr>
        <w:spacing w:after="0" w:line="240" w:lineRule="auto"/>
        <w:rPr>
          <w:rFonts w:cs="Calibri"/>
        </w:rPr>
      </w:pPr>
      <w:r w:rsidRPr="006C7D7D">
        <w:rPr>
          <w:rFonts w:cs="Calibri"/>
          <w:b/>
        </w:rPr>
        <w:t>ADA Compliance</w:t>
      </w:r>
      <w:r w:rsidR="00D50FDE">
        <w:rPr>
          <w:rFonts w:cs="Calibri"/>
        </w:rPr>
        <w:t xml:space="preserve"> – During summer of 2012 the LIS faculty and staff </w:t>
      </w:r>
      <w:r w:rsidRPr="006C7D7D">
        <w:rPr>
          <w:rFonts w:cs="Calibri"/>
        </w:rPr>
        <w:t xml:space="preserve">audited </w:t>
      </w:r>
      <w:r w:rsidR="00D50FDE">
        <w:rPr>
          <w:rFonts w:cs="Calibri"/>
        </w:rPr>
        <w:t xml:space="preserve">the Library and Information Commons </w:t>
      </w:r>
      <w:r w:rsidRPr="006C7D7D">
        <w:rPr>
          <w:rFonts w:cs="Calibri"/>
        </w:rPr>
        <w:t>for ADA compliance and added several computer, desks, a</w:t>
      </w:r>
      <w:r w:rsidR="00D50FDE">
        <w:rPr>
          <w:rFonts w:cs="Calibri"/>
        </w:rPr>
        <w:t xml:space="preserve">nd peripherals that have enabling the spaces to be above </w:t>
      </w:r>
      <w:r w:rsidRPr="006C7D7D">
        <w:rPr>
          <w:rFonts w:cs="Calibri"/>
        </w:rPr>
        <w:t>ADA compliance:</w:t>
      </w:r>
    </w:p>
    <w:p w:rsidR="003E5059" w:rsidRPr="006C7D7D" w:rsidRDefault="003E5059" w:rsidP="003E5059">
      <w:pPr>
        <w:ind w:left="360"/>
        <w:rPr>
          <w:rFonts w:cs="Calibri"/>
        </w:rPr>
      </w:pPr>
    </w:p>
    <w:p w:rsidR="003E5059" w:rsidRPr="006C7D7D" w:rsidRDefault="003E5059" w:rsidP="003E5059">
      <w:pPr>
        <w:ind w:left="720"/>
        <w:rPr>
          <w:rFonts w:cs="Calibri"/>
          <w:u w:val="single"/>
        </w:rPr>
      </w:pPr>
      <w:r w:rsidRPr="006C7D7D">
        <w:rPr>
          <w:rFonts w:cs="Calibri"/>
          <w:u w:val="single"/>
        </w:rPr>
        <w:t>Wheelchair Accessible Workstations:</w:t>
      </w:r>
    </w:p>
    <w:p w:rsidR="003E5059" w:rsidRPr="006C7D7D" w:rsidRDefault="003E5059" w:rsidP="003E5059">
      <w:pPr>
        <w:pStyle w:val="ListParagraph"/>
        <w:numPr>
          <w:ilvl w:val="0"/>
          <w:numId w:val="7"/>
        </w:numPr>
        <w:ind w:firstLine="0"/>
        <w:rPr>
          <w:rFonts w:cs="Calibri"/>
        </w:rPr>
      </w:pPr>
      <w:r w:rsidRPr="006C7D7D">
        <w:rPr>
          <w:rFonts w:cs="Calibri"/>
        </w:rPr>
        <w:t>Library main floor: #75-80</w:t>
      </w:r>
    </w:p>
    <w:p w:rsidR="003E5059" w:rsidRPr="006C7D7D" w:rsidRDefault="003E5059" w:rsidP="003E5059">
      <w:pPr>
        <w:pStyle w:val="ListParagraph"/>
        <w:numPr>
          <w:ilvl w:val="0"/>
          <w:numId w:val="7"/>
        </w:numPr>
        <w:ind w:firstLine="0"/>
        <w:rPr>
          <w:rFonts w:cs="Calibri"/>
        </w:rPr>
      </w:pPr>
      <w:r w:rsidRPr="006C7D7D">
        <w:rPr>
          <w:rFonts w:cs="Calibri"/>
        </w:rPr>
        <w:t>Library study rooms: L1121 #91</w:t>
      </w:r>
    </w:p>
    <w:p w:rsidR="003E5059" w:rsidRPr="006C7D7D" w:rsidRDefault="003E5059" w:rsidP="003E5059">
      <w:pPr>
        <w:pStyle w:val="ListParagraph"/>
        <w:numPr>
          <w:ilvl w:val="0"/>
          <w:numId w:val="7"/>
        </w:numPr>
        <w:ind w:firstLine="0"/>
        <w:rPr>
          <w:rFonts w:cs="Calibri"/>
        </w:rPr>
      </w:pPr>
      <w:r w:rsidRPr="006C7D7D">
        <w:rPr>
          <w:rFonts w:cs="Calibri"/>
        </w:rPr>
        <w:t>Library Reference area: #90 (behind the reference desk)</w:t>
      </w:r>
    </w:p>
    <w:p w:rsidR="003E5059" w:rsidRPr="006C7D7D" w:rsidRDefault="003E5059" w:rsidP="003E5059">
      <w:pPr>
        <w:pStyle w:val="ListParagraph"/>
        <w:numPr>
          <w:ilvl w:val="0"/>
          <w:numId w:val="7"/>
        </w:numPr>
        <w:ind w:firstLine="0"/>
        <w:rPr>
          <w:rFonts w:cs="Calibri"/>
        </w:rPr>
      </w:pPr>
      <w:r w:rsidRPr="006C7D7D">
        <w:rPr>
          <w:rFonts w:cs="Calibri"/>
        </w:rPr>
        <w:t>The Den (A1510): #31 and #42</w:t>
      </w:r>
    </w:p>
    <w:p w:rsidR="003E5059" w:rsidRPr="006C7D7D" w:rsidRDefault="003E5059" w:rsidP="003E5059">
      <w:pPr>
        <w:pStyle w:val="ListParagraph"/>
        <w:numPr>
          <w:ilvl w:val="0"/>
          <w:numId w:val="7"/>
        </w:numPr>
        <w:ind w:firstLine="0"/>
        <w:rPr>
          <w:rFonts w:cs="Calibri"/>
        </w:rPr>
      </w:pPr>
      <w:r w:rsidRPr="006C7D7D">
        <w:rPr>
          <w:rFonts w:cs="Calibri"/>
        </w:rPr>
        <w:t>B Building Information Commons: #99-100</w:t>
      </w:r>
    </w:p>
    <w:p w:rsidR="003E5059" w:rsidRPr="006C7D7D" w:rsidRDefault="003E5059" w:rsidP="003E5059">
      <w:pPr>
        <w:ind w:left="720"/>
        <w:rPr>
          <w:rFonts w:cs="Calibri"/>
          <w:u w:val="single"/>
        </w:rPr>
      </w:pPr>
      <w:r w:rsidRPr="006C7D7D">
        <w:rPr>
          <w:rFonts w:cs="Calibri"/>
          <w:u w:val="single"/>
        </w:rPr>
        <w:t>CCTV Magnification:</w:t>
      </w:r>
    </w:p>
    <w:p w:rsidR="003E5059" w:rsidRPr="006C7D7D" w:rsidRDefault="003E5059" w:rsidP="003E5059">
      <w:pPr>
        <w:pStyle w:val="ListParagraph"/>
        <w:numPr>
          <w:ilvl w:val="0"/>
          <w:numId w:val="10"/>
        </w:numPr>
        <w:ind w:firstLine="0"/>
        <w:rPr>
          <w:rFonts w:cs="Calibri"/>
        </w:rPr>
      </w:pPr>
      <w:r w:rsidRPr="006C7D7D">
        <w:rPr>
          <w:rFonts w:cs="Calibri"/>
        </w:rPr>
        <w:t>Library Information Commons main floor</w:t>
      </w:r>
    </w:p>
    <w:p w:rsidR="003E5059" w:rsidRPr="006C7D7D" w:rsidRDefault="003E5059" w:rsidP="003E5059">
      <w:pPr>
        <w:pStyle w:val="ListParagraph"/>
        <w:numPr>
          <w:ilvl w:val="0"/>
          <w:numId w:val="10"/>
        </w:numPr>
        <w:ind w:firstLine="0"/>
        <w:rPr>
          <w:rFonts w:cs="Calibri"/>
        </w:rPr>
      </w:pPr>
      <w:r w:rsidRPr="006C7D7D">
        <w:rPr>
          <w:rFonts w:cs="Calibri"/>
        </w:rPr>
        <w:t>B Building Information Commons</w:t>
      </w:r>
    </w:p>
    <w:p w:rsidR="003E5059" w:rsidRPr="006C7D7D" w:rsidRDefault="003E5059" w:rsidP="003E5059">
      <w:pPr>
        <w:ind w:left="720"/>
        <w:rPr>
          <w:rFonts w:cs="Calibri"/>
          <w:u w:val="single"/>
        </w:rPr>
      </w:pPr>
      <w:r w:rsidRPr="006C7D7D">
        <w:rPr>
          <w:rFonts w:cs="Calibri"/>
          <w:u w:val="single"/>
        </w:rPr>
        <w:t>MAGic/JAWS:</w:t>
      </w:r>
    </w:p>
    <w:p w:rsidR="003E5059" w:rsidRPr="006C7D7D" w:rsidRDefault="003E5059" w:rsidP="003E5059">
      <w:pPr>
        <w:pStyle w:val="ListParagraph"/>
        <w:numPr>
          <w:ilvl w:val="0"/>
          <w:numId w:val="8"/>
        </w:numPr>
        <w:ind w:left="720" w:firstLine="0"/>
        <w:rPr>
          <w:rFonts w:cs="Calibri"/>
        </w:rPr>
      </w:pPr>
      <w:r w:rsidRPr="006C7D7D">
        <w:rPr>
          <w:rFonts w:cs="Calibri"/>
        </w:rPr>
        <w:t>Library main floor: #75-77</w:t>
      </w:r>
    </w:p>
    <w:p w:rsidR="003E5059" w:rsidRPr="006C7D7D" w:rsidRDefault="003E5059" w:rsidP="003E5059">
      <w:pPr>
        <w:pStyle w:val="ListParagraph"/>
        <w:numPr>
          <w:ilvl w:val="0"/>
          <w:numId w:val="8"/>
        </w:numPr>
        <w:ind w:left="720" w:firstLine="0"/>
        <w:rPr>
          <w:rFonts w:cs="Calibri"/>
        </w:rPr>
      </w:pPr>
      <w:r w:rsidRPr="006C7D7D">
        <w:rPr>
          <w:rFonts w:cs="Calibri"/>
        </w:rPr>
        <w:t>Library study rooms: L1121 #91</w:t>
      </w:r>
    </w:p>
    <w:p w:rsidR="003E5059" w:rsidRPr="006C7D7D" w:rsidRDefault="003E5059" w:rsidP="003E5059">
      <w:pPr>
        <w:pStyle w:val="ListParagraph"/>
        <w:numPr>
          <w:ilvl w:val="0"/>
          <w:numId w:val="8"/>
        </w:numPr>
        <w:ind w:left="720" w:firstLine="0"/>
        <w:rPr>
          <w:rFonts w:cs="Calibri"/>
        </w:rPr>
      </w:pPr>
      <w:r w:rsidRPr="006C7D7D">
        <w:rPr>
          <w:rFonts w:cs="Calibri"/>
        </w:rPr>
        <w:t>Library Reference Area: #90 (behind the reference desk)</w:t>
      </w:r>
    </w:p>
    <w:p w:rsidR="003E5059" w:rsidRPr="006C7D7D" w:rsidRDefault="003E5059" w:rsidP="003E5059">
      <w:pPr>
        <w:pStyle w:val="ListParagraph"/>
        <w:numPr>
          <w:ilvl w:val="0"/>
          <w:numId w:val="8"/>
        </w:numPr>
        <w:ind w:left="720" w:firstLine="0"/>
        <w:rPr>
          <w:rFonts w:cs="Calibri"/>
        </w:rPr>
      </w:pPr>
      <w:r w:rsidRPr="006C7D7D">
        <w:rPr>
          <w:rFonts w:cs="Calibri"/>
        </w:rPr>
        <w:t>The Den (A1510): #9 and #42</w:t>
      </w:r>
    </w:p>
    <w:p w:rsidR="003E5059" w:rsidRPr="006C7D7D" w:rsidRDefault="003E5059" w:rsidP="003E5059">
      <w:pPr>
        <w:pStyle w:val="ListParagraph"/>
        <w:numPr>
          <w:ilvl w:val="0"/>
          <w:numId w:val="8"/>
        </w:numPr>
        <w:ind w:left="720" w:firstLine="0"/>
        <w:rPr>
          <w:rFonts w:cs="Calibri"/>
        </w:rPr>
      </w:pPr>
      <w:r w:rsidRPr="006C7D7D">
        <w:rPr>
          <w:rFonts w:cs="Calibri"/>
        </w:rPr>
        <w:t>B Building Information Commons: #99-100</w:t>
      </w:r>
    </w:p>
    <w:p w:rsidR="003E5059" w:rsidRPr="006C7D7D" w:rsidRDefault="003E5059" w:rsidP="003E5059">
      <w:pPr>
        <w:ind w:left="720"/>
        <w:rPr>
          <w:rFonts w:cs="Calibri"/>
          <w:u w:val="single"/>
        </w:rPr>
      </w:pPr>
      <w:r w:rsidRPr="006C7D7D">
        <w:rPr>
          <w:rFonts w:cs="Calibri"/>
          <w:u w:val="single"/>
        </w:rPr>
        <w:t>Kurzweil 3000:</w:t>
      </w:r>
    </w:p>
    <w:p w:rsidR="003E5059" w:rsidRPr="006C7D7D" w:rsidRDefault="003E5059" w:rsidP="003E5059">
      <w:pPr>
        <w:pStyle w:val="ListParagraph"/>
        <w:numPr>
          <w:ilvl w:val="0"/>
          <w:numId w:val="9"/>
        </w:numPr>
        <w:ind w:left="720" w:firstLine="0"/>
        <w:rPr>
          <w:rFonts w:cs="Calibri"/>
        </w:rPr>
      </w:pPr>
      <w:r w:rsidRPr="006C7D7D">
        <w:rPr>
          <w:rFonts w:cs="Calibri"/>
        </w:rPr>
        <w:t>Library main floor: #13</w:t>
      </w:r>
    </w:p>
    <w:p w:rsidR="003E5059" w:rsidRPr="006C7D7D" w:rsidRDefault="003E5059" w:rsidP="003E5059">
      <w:pPr>
        <w:pStyle w:val="ListParagraph"/>
        <w:numPr>
          <w:ilvl w:val="0"/>
          <w:numId w:val="9"/>
        </w:numPr>
        <w:ind w:left="720" w:firstLine="0"/>
        <w:rPr>
          <w:rFonts w:cs="Calibri"/>
        </w:rPr>
      </w:pPr>
      <w:r w:rsidRPr="006C7D7D">
        <w:rPr>
          <w:rFonts w:cs="Calibri"/>
        </w:rPr>
        <w:t>Library study rooms: L1121 #91</w:t>
      </w:r>
    </w:p>
    <w:p w:rsidR="003E5059" w:rsidRPr="006C7D7D" w:rsidRDefault="003E5059" w:rsidP="003E5059">
      <w:pPr>
        <w:pStyle w:val="ListParagraph"/>
        <w:numPr>
          <w:ilvl w:val="0"/>
          <w:numId w:val="9"/>
        </w:numPr>
        <w:ind w:left="720" w:firstLine="0"/>
        <w:rPr>
          <w:rFonts w:cs="Calibri"/>
        </w:rPr>
      </w:pPr>
      <w:r w:rsidRPr="006C7D7D">
        <w:rPr>
          <w:rFonts w:cs="Calibri"/>
        </w:rPr>
        <w:t>The Den (A1510): #9</w:t>
      </w:r>
    </w:p>
    <w:p w:rsidR="003E5059" w:rsidRPr="006C7D7D" w:rsidRDefault="003E5059" w:rsidP="003E5059">
      <w:pPr>
        <w:ind w:left="720"/>
        <w:rPr>
          <w:rFonts w:cs="Calibri"/>
          <w:u w:val="single"/>
        </w:rPr>
      </w:pPr>
      <w:r w:rsidRPr="006C7D7D">
        <w:rPr>
          <w:rFonts w:cs="Calibri"/>
          <w:u w:val="single"/>
        </w:rPr>
        <w:t>Ergonomic Keyboard:</w:t>
      </w:r>
    </w:p>
    <w:p w:rsidR="003E5059" w:rsidRPr="006C7D7D" w:rsidRDefault="003E5059" w:rsidP="003E5059">
      <w:pPr>
        <w:ind w:left="720"/>
        <w:rPr>
          <w:rFonts w:cs="Calibri"/>
        </w:rPr>
      </w:pPr>
      <w:r w:rsidRPr="006C7D7D">
        <w:rPr>
          <w:rFonts w:cs="Calibri"/>
        </w:rPr>
        <w:t>At each Information Commons Help Desk</w:t>
      </w:r>
    </w:p>
    <w:p w:rsidR="003E5059" w:rsidRPr="006C7D7D" w:rsidRDefault="003E5059" w:rsidP="003E5059">
      <w:pPr>
        <w:ind w:left="720"/>
        <w:rPr>
          <w:rFonts w:cs="Calibri"/>
          <w:u w:val="single"/>
        </w:rPr>
      </w:pPr>
      <w:r w:rsidRPr="006C7D7D">
        <w:rPr>
          <w:rFonts w:cs="Calibri"/>
          <w:u w:val="single"/>
        </w:rPr>
        <w:t>Large Trackball Mouse:</w:t>
      </w:r>
    </w:p>
    <w:p w:rsidR="003E5059" w:rsidRPr="006C7D7D" w:rsidRDefault="003E5059" w:rsidP="003E5059">
      <w:pPr>
        <w:ind w:left="720"/>
        <w:rPr>
          <w:rFonts w:cs="Calibri"/>
        </w:rPr>
      </w:pPr>
      <w:r w:rsidRPr="006C7D7D">
        <w:rPr>
          <w:rFonts w:cs="Calibri"/>
        </w:rPr>
        <w:t>At each Information Commons Help Desk</w:t>
      </w:r>
    </w:p>
    <w:p w:rsidR="003E5059" w:rsidRPr="006C7D7D" w:rsidRDefault="003E5059" w:rsidP="003E5059">
      <w:pPr>
        <w:ind w:left="720"/>
        <w:rPr>
          <w:rFonts w:cs="Calibri"/>
          <w:u w:val="single"/>
        </w:rPr>
      </w:pPr>
      <w:r w:rsidRPr="006C7D7D">
        <w:rPr>
          <w:rFonts w:cs="Calibri"/>
          <w:u w:val="single"/>
        </w:rPr>
        <w:t>Headset:</w:t>
      </w:r>
    </w:p>
    <w:p w:rsidR="003E5059" w:rsidRPr="006C7D7D" w:rsidRDefault="003E5059" w:rsidP="003E5059">
      <w:pPr>
        <w:ind w:left="720"/>
        <w:rPr>
          <w:rFonts w:cs="Calibri"/>
        </w:rPr>
      </w:pPr>
      <w:r w:rsidRPr="006C7D7D">
        <w:rPr>
          <w:rFonts w:cs="Calibri"/>
        </w:rPr>
        <w:t>At each Information Commons Help Desk</w:t>
      </w:r>
    </w:p>
    <w:p w:rsidR="003E5059" w:rsidRPr="006C7D7D" w:rsidRDefault="003E5059" w:rsidP="003E5059">
      <w:pPr>
        <w:rPr>
          <w:rFonts w:cs="Calibri"/>
        </w:rPr>
      </w:pPr>
    </w:p>
    <w:p w:rsidR="003E5059" w:rsidRPr="006C7D7D" w:rsidRDefault="003E5059" w:rsidP="003E5059">
      <w:pPr>
        <w:numPr>
          <w:ilvl w:val="0"/>
          <w:numId w:val="4"/>
        </w:numPr>
        <w:spacing w:after="0" w:line="240" w:lineRule="auto"/>
        <w:rPr>
          <w:rFonts w:cs="Calibri"/>
        </w:rPr>
      </w:pPr>
      <w:r w:rsidRPr="006C7D7D">
        <w:rPr>
          <w:rFonts w:cs="Calibri"/>
          <w:b/>
        </w:rPr>
        <w:t>Voyager</w:t>
      </w:r>
      <w:r w:rsidRPr="006C7D7D">
        <w:rPr>
          <w:rFonts w:cs="Calibri"/>
        </w:rPr>
        <w:t xml:space="preserve"> – Members of the GIL consortium upgraded to version 8.1. The Head of Library Information Systems continues to attempt to get a system for automating the process of adding GGC employees from ADP to Voyager, and to get the student patron update process automated.</w:t>
      </w:r>
    </w:p>
    <w:p w:rsidR="003E5059" w:rsidRPr="006C7D7D" w:rsidRDefault="003E5059" w:rsidP="003E5059">
      <w:pPr>
        <w:numPr>
          <w:ilvl w:val="0"/>
          <w:numId w:val="4"/>
        </w:numPr>
        <w:spacing w:after="0" w:line="240" w:lineRule="auto"/>
        <w:rPr>
          <w:rFonts w:cs="Calibri"/>
        </w:rPr>
      </w:pPr>
      <w:r w:rsidRPr="006C7D7D">
        <w:rPr>
          <w:rFonts w:cs="Calibri"/>
          <w:b/>
        </w:rPr>
        <w:t xml:space="preserve">GIL </w:t>
      </w:r>
      <w:r w:rsidRPr="006C7D7D">
        <w:rPr>
          <w:rFonts w:cs="Calibri"/>
        </w:rPr>
        <w:t>– The GIL consortium continues to experiment with discovery layers and completed implementation of GILFind for the Universal Catalog.</w:t>
      </w:r>
    </w:p>
    <w:p w:rsidR="003E5059" w:rsidRPr="006C7D7D" w:rsidRDefault="003E5059" w:rsidP="003E5059">
      <w:pPr>
        <w:numPr>
          <w:ilvl w:val="0"/>
          <w:numId w:val="4"/>
        </w:numPr>
        <w:spacing w:after="0" w:line="240" w:lineRule="auto"/>
        <w:rPr>
          <w:rFonts w:cs="Calibri"/>
        </w:rPr>
      </w:pPr>
      <w:r w:rsidRPr="006C7D7D">
        <w:rPr>
          <w:rFonts w:cs="Calibri"/>
          <w:b/>
        </w:rPr>
        <w:t>GALILEO</w:t>
      </w:r>
      <w:r w:rsidRPr="006C7D7D">
        <w:rPr>
          <w:rFonts w:cs="Calibri"/>
        </w:rPr>
        <w:t xml:space="preserve"> – The GALILEO consortium began implementation of EBSCO Discovery Service.</w:t>
      </w:r>
    </w:p>
    <w:p w:rsidR="003E5059" w:rsidRPr="006C7D7D" w:rsidRDefault="003E5059" w:rsidP="003E5059">
      <w:pPr>
        <w:numPr>
          <w:ilvl w:val="0"/>
          <w:numId w:val="4"/>
        </w:numPr>
        <w:spacing w:after="0" w:line="240" w:lineRule="auto"/>
        <w:rPr>
          <w:rFonts w:cs="Calibri"/>
        </w:rPr>
      </w:pPr>
      <w:r w:rsidRPr="006C7D7D">
        <w:rPr>
          <w:rFonts w:cs="Calibri"/>
          <w:b/>
        </w:rPr>
        <w:t xml:space="preserve">EZProxy </w:t>
      </w:r>
      <w:r w:rsidR="00D50FDE">
        <w:rPr>
          <w:rFonts w:cs="Calibri"/>
        </w:rPr>
        <w:t>– There were no changes to the</w:t>
      </w:r>
      <w:r w:rsidRPr="006C7D7D">
        <w:rPr>
          <w:rFonts w:cs="Calibri"/>
        </w:rPr>
        <w:t xml:space="preserve"> implementation of EZProxy.</w:t>
      </w:r>
    </w:p>
    <w:p w:rsidR="003E5059" w:rsidRPr="006C7D7D" w:rsidRDefault="003E5059" w:rsidP="003E5059">
      <w:pPr>
        <w:numPr>
          <w:ilvl w:val="0"/>
          <w:numId w:val="6"/>
        </w:numPr>
        <w:spacing w:after="0" w:line="240" w:lineRule="auto"/>
        <w:rPr>
          <w:rFonts w:cs="Calibri"/>
        </w:rPr>
      </w:pPr>
      <w:r w:rsidRPr="006C7D7D">
        <w:rPr>
          <w:rFonts w:cs="Calibri"/>
          <w:b/>
        </w:rPr>
        <w:t>Initiatives</w:t>
      </w:r>
      <w:r w:rsidRPr="006C7D7D">
        <w:rPr>
          <w:rFonts w:cs="Calibri"/>
        </w:rPr>
        <w:t xml:space="preserve"> – Head of Library Information Systems continued to serve on the GKR Steering Committee. GKR is seeking ways to continue the project in a way independent of Georgia Tech. One possibility is for the dBase instances to be hosted by BioMed.</w:t>
      </w:r>
    </w:p>
    <w:p w:rsidR="003E5059" w:rsidRPr="006C7D7D" w:rsidRDefault="003E5059" w:rsidP="003E5059">
      <w:pPr>
        <w:numPr>
          <w:ilvl w:val="0"/>
          <w:numId w:val="3"/>
        </w:numPr>
        <w:spacing w:after="0" w:line="240" w:lineRule="auto"/>
        <w:rPr>
          <w:rFonts w:cs="Calibri"/>
        </w:rPr>
      </w:pPr>
      <w:r w:rsidRPr="006C7D7D">
        <w:rPr>
          <w:rFonts w:cs="Calibri"/>
          <w:b/>
        </w:rPr>
        <w:t>Office Computers</w:t>
      </w:r>
      <w:r w:rsidRPr="006C7D7D">
        <w:rPr>
          <w:rFonts w:cs="Calibri"/>
        </w:rPr>
        <w:t xml:space="preserve"> – Office computers were put on the new GGC domain, as were all campus computers.</w:t>
      </w:r>
    </w:p>
    <w:p w:rsidR="003E5059" w:rsidRPr="006C7D7D" w:rsidRDefault="003E5059" w:rsidP="003E5059">
      <w:pPr>
        <w:ind w:left="360"/>
        <w:rPr>
          <w:rFonts w:cs="Calibri"/>
          <w:b/>
        </w:rPr>
      </w:pPr>
    </w:p>
    <w:p w:rsidR="003E5059" w:rsidRPr="006C7D7D" w:rsidRDefault="003E5059" w:rsidP="003E5059">
      <w:pPr>
        <w:ind w:left="360"/>
        <w:rPr>
          <w:rFonts w:cs="Calibri"/>
          <w:b/>
        </w:rPr>
      </w:pPr>
      <w:r w:rsidRPr="006C7D7D">
        <w:rPr>
          <w:rFonts w:cs="Calibri"/>
          <w:b/>
        </w:rPr>
        <w:t>Goals for FY 2012-2013:</w:t>
      </w:r>
    </w:p>
    <w:p w:rsidR="003E5059" w:rsidRPr="006C7D7D" w:rsidRDefault="003E5059" w:rsidP="003E5059">
      <w:pPr>
        <w:numPr>
          <w:ilvl w:val="0"/>
          <w:numId w:val="5"/>
        </w:numPr>
        <w:spacing w:after="0" w:line="240" w:lineRule="auto"/>
        <w:rPr>
          <w:rFonts w:cs="Calibri"/>
        </w:rPr>
      </w:pPr>
      <w:r w:rsidRPr="006C7D7D">
        <w:rPr>
          <w:rFonts w:cs="Calibri"/>
          <w:b/>
        </w:rPr>
        <w:t>Staffing and Services</w:t>
      </w:r>
      <w:r w:rsidRPr="006C7D7D">
        <w:rPr>
          <w:rFonts w:cs="Calibri"/>
        </w:rPr>
        <w:t xml:space="preserve"> – Library Information Systems needs an additional professional technical position to help manage the Library’s systems, </w:t>
      </w:r>
      <w:r w:rsidR="000B1F8E">
        <w:rPr>
          <w:rFonts w:cs="Calibri"/>
        </w:rPr>
        <w:t>media, and data flow. Preferably</w:t>
      </w:r>
      <w:r w:rsidRPr="006C7D7D">
        <w:rPr>
          <w:rFonts w:cs="Calibri"/>
        </w:rPr>
        <w:t xml:space="preserve"> this person would have a master’s degree in Educational Technology, Information Technology, or some equivalent qualifications.</w:t>
      </w:r>
    </w:p>
    <w:p w:rsidR="003E5059" w:rsidRPr="006C7D7D" w:rsidRDefault="003E5059" w:rsidP="003E5059">
      <w:pPr>
        <w:numPr>
          <w:ilvl w:val="0"/>
          <w:numId w:val="5"/>
        </w:numPr>
        <w:spacing w:after="0" w:line="240" w:lineRule="auto"/>
        <w:rPr>
          <w:rFonts w:cs="Calibri"/>
        </w:rPr>
      </w:pPr>
      <w:r w:rsidRPr="006C7D7D">
        <w:rPr>
          <w:rFonts w:cs="Calibri"/>
          <w:b/>
        </w:rPr>
        <w:t>Consortia</w:t>
      </w:r>
      <w:r w:rsidRPr="006C7D7D">
        <w:rPr>
          <w:rFonts w:cs="Calibri"/>
        </w:rPr>
        <w:t xml:space="preserve"> – Continue to represent GGC Library within ongoing in</w:t>
      </w:r>
      <w:r w:rsidR="000B1F8E">
        <w:rPr>
          <w:rFonts w:cs="Calibri"/>
        </w:rPr>
        <w:t>itiatives throughout the System</w:t>
      </w:r>
      <w:r w:rsidRPr="006C7D7D">
        <w:rPr>
          <w:rFonts w:cs="Calibri"/>
        </w:rPr>
        <w:t xml:space="preserve"> including GIL, GALILEO, and GKR.</w:t>
      </w:r>
    </w:p>
    <w:p w:rsidR="00A91753" w:rsidRPr="00166BE6" w:rsidRDefault="00A91753" w:rsidP="003E5059">
      <w:pPr>
        <w:rPr>
          <w:rFonts w:cs="Calibri"/>
        </w:rPr>
      </w:pPr>
    </w:p>
    <w:p w:rsidR="001750A0" w:rsidRPr="00166BE6" w:rsidRDefault="001750A0" w:rsidP="00A91753">
      <w:pPr>
        <w:spacing w:after="0" w:line="240" w:lineRule="auto"/>
        <w:ind w:left="720"/>
        <w:rPr>
          <w:rFonts w:cs="Calibri"/>
        </w:rPr>
      </w:pPr>
    </w:p>
    <w:p w:rsidR="001750A0" w:rsidRPr="00166BE6" w:rsidRDefault="001750A0" w:rsidP="00AD10A4">
      <w:pPr>
        <w:rPr>
          <w:rFonts w:cs="Calibri"/>
        </w:rPr>
      </w:pPr>
      <w:r w:rsidRPr="00166BE6">
        <w:rPr>
          <w:rFonts w:cs="Calibri"/>
        </w:rPr>
        <w:br w:type="page"/>
      </w:r>
      <w:r w:rsidRPr="00166BE6">
        <w:rPr>
          <w:rStyle w:val="normalchar"/>
          <w:rFonts w:cs="Calibri"/>
          <w:b/>
          <w:bCs/>
          <w:sz w:val="28"/>
          <w:szCs w:val="28"/>
        </w:rPr>
        <w:t>Research Services</w:t>
      </w:r>
    </w:p>
    <w:p w:rsidR="001750A0" w:rsidRPr="00166BE6" w:rsidRDefault="001750A0" w:rsidP="001750A0">
      <w:pPr>
        <w:pStyle w:val="Normal1"/>
        <w:rPr>
          <w:rFonts w:ascii="Calibri" w:hAnsi="Calibri" w:cs="Calibri"/>
        </w:rPr>
      </w:pPr>
      <w:r w:rsidRPr="00166BE6">
        <w:rPr>
          <w:rStyle w:val="normalchar"/>
          <w:rFonts w:ascii="Calibri" w:hAnsi="Calibri" w:cs="Calibri"/>
        </w:rPr>
        <w:t>The number of employees in the Research Services Department remained the same; the Head of Research Services, two full-time Reference and Instruction Librarians, and five part-time Reference Librarians. One Reference and Instruction Librarian resigned October 2011; the position was filled six months later.  This static number of librarians is providing reference and library instruction services to a greatly increased population of students and faculty. The Reference Librarians are also working to help maintain order across the three public floors in the greatly increased space in the new library building.</w:t>
      </w:r>
    </w:p>
    <w:p w:rsidR="001750A0" w:rsidRPr="00166BE6" w:rsidRDefault="001750A0" w:rsidP="001750A0">
      <w:pPr>
        <w:pStyle w:val="Normal1"/>
        <w:outlineLvl w:val="0"/>
        <w:rPr>
          <w:rFonts w:ascii="Calibri" w:hAnsi="Calibri" w:cs="Calibri"/>
        </w:rPr>
      </w:pPr>
      <w:r w:rsidRPr="00166BE6">
        <w:rPr>
          <w:rStyle w:val="normalchar"/>
          <w:rFonts w:ascii="Calibri" w:hAnsi="Calibri" w:cs="Calibri"/>
          <w:b/>
          <w:bCs/>
        </w:rPr>
        <w:t>Activities for 2011-2012</w:t>
      </w:r>
      <w:r w:rsidRPr="00166BE6">
        <w:rPr>
          <w:rStyle w:val="normalchar"/>
          <w:rFonts w:ascii="Calibri" w:hAnsi="Calibri" w:cs="Calibri"/>
        </w:rPr>
        <w:t>:</w:t>
      </w:r>
    </w:p>
    <w:p w:rsidR="001750A0" w:rsidRPr="00166BE6" w:rsidRDefault="001750A0" w:rsidP="001750A0">
      <w:pPr>
        <w:pStyle w:val="Normal1"/>
        <w:numPr>
          <w:ilvl w:val="0"/>
          <w:numId w:val="14"/>
        </w:numPr>
        <w:ind w:left="720"/>
        <w:rPr>
          <w:rStyle w:val="normalchar"/>
          <w:rFonts w:ascii="Calibri" w:hAnsi="Calibri" w:cs="Calibri"/>
        </w:rPr>
      </w:pPr>
      <w:r w:rsidRPr="00166BE6">
        <w:rPr>
          <w:rStyle w:val="normalchar"/>
          <w:rFonts w:ascii="Calibri" w:hAnsi="Calibri" w:cs="Calibri"/>
          <w:b/>
          <w:bCs/>
        </w:rPr>
        <w:t xml:space="preserve">Communication and Training </w:t>
      </w:r>
      <w:r w:rsidRPr="00166BE6">
        <w:rPr>
          <w:rStyle w:val="normalchar"/>
          <w:rFonts w:ascii="Calibri" w:hAnsi="Calibri" w:cs="Calibri"/>
        </w:rPr>
        <w:t>– With the increased demand for our services, the department continued the focus on keeping the part-time librarians up to date with resources, policy and other changes that affect reference service.</w:t>
      </w:r>
    </w:p>
    <w:p w:rsidR="001750A0" w:rsidRPr="00166BE6" w:rsidRDefault="001750A0" w:rsidP="001750A0">
      <w:pPr>
        <w:pStyle w:val="Normal1"/>
        <w:numPr>
          <w:ilvl w:val="0"/>
          <w:numId w:val="14"/>
        </w:numPr>
        <w:ind w:left="720"/>
        <w:rPr>
          <w:rStyle w:val="normalchar"/>
          <w:rFonts w:ascii="Calibri" w:hAnsi="Calibri" w:cs="Calibri"/>
        </w:rPr>
      </w:pPr>
      <w:r w:rsidRPr="00166BE6">
        <w:rPr>
          <w:rStyle w:val="normalchar"/>
          <w:rFonts w:ascii="Calibri" w:hAnsi="Calibri" w:cs="Calibri"/>
          <w:b/>
        </w:rPr>
        <w:t>Reference Service</w:t>
      </w:r>
      <w:r w:rsidRPr="00166BE6">
        <w:rPr>
          <w:rStyle w:val="normalchar"/>
          <w:rFonts w:ascii="Calibri" w:hAnsi="Calibri" w:cs="Calibri"/>
        </w:rPr>
        <w:t xml:space="preserve"> – The occasional use of the Reference Instant Messaging Digsby account has had positive results from students; this is an informal pilot project. The Reference Statistics show a slight decrease in the number of questions presented to the Reference Desk. However, even casual observation shows that the desk is busier than ever. This discrepancy is due to several factors: </w:t>
      </w:r>
    </w:p>
    <w:p w:rsidR="001750A0" w:rsidRPr="00166BE6" w:rsidRDefault="001750A0" w:rsidP="001750A0">
      <w:pPr>
        <w:pStyle w:val="Normal1"/>
        <w:numPr>
          <w:ilvl w:val="1"/>
          <w:numId w:val="14"/>
        </w:numPr>
        <w:rPr>
          <w:rStyle w:val="normalchar"/>
          <w:rFonts w:ascii="Calibri" w:hAnsi="Calibri" w:cs="Calibri"/>
        </w:rPr>
      </w:pPr>
      <w:r w:rsidRPr="00166BE6">
        <w:rPr>
          <w:rStyle w:val="normalchar"/>
          <w:rFonts w:ascii="Calibri" w:hAnsi="Calibri" w:cs="Calibri"/>
        </w:rPr>
        <w:t>Under-reporting of statistics. Reference librarians confirm that this is the case during very busy times at the desk and for recording directional questions. If directional questions are disregarded from the statistics, the numbers are effectively the same for FY11 and FY12.</w:t>
      </w:r>
    </w:p>
    <w:p w:rsidR="001750A0" w:rsidRPr="00166BE6" w:rsidRDefault="001750A0" w:rsidP="001750A0">
      <w:pPr>
        <w:pStyle w:val="Normal1"/>
        <w:numPr>
          <w:ilvl w:val="1"/>
          <w:numId w:val="14"/>
        </w:numPr>
        <w:rPr>
          <w:rStyle w:val="normalchar"/>
          <w:rFonts w:ascii="Calibri" w:hAnsi="Calibri" w:cs="Calibri"/>
        </w:rPr>
      </w:pPr>
      <w:r w:rsidRPr="00166BE6">
        <w:rPr>
          <w:rStyle w:val="normalchar"/>
          <w:rFonts w:ascii="Calibri" w:hAnsi="Calibri" w:cs="Calibri"/>
        </w:rPr>
        <w:t>The library building has been open longer and patrons are more familiar with the building, so are asking fewer directional and policy questions.</w:t>
      </w:r>
    </w:p>
    <w:p w:rsidR="001750A0" w:rsidRPr="00166BE6" w:rsidRDefault="001750A0" w:rsidP="001750A0">
      <w:pPr>
        <w:pStyle w:val="Normal1"/>
        <w:numPr>
          <w:ilvl w:val="1"/>
          <w:numId w:val="14"/>
        </w:numPr>
        <w:rPr>
          <w:rStyle w:val="normalchar"/>
          <w:rFonts w:ascii="Calibri" w:hAnsi="Calibri" w:cs="Calibri"/>
        </w:rPr>
      </w:pPr>
      <w:r w:rsidRPr="00166BE6">
        <w:rPr>
          <w:rStyle w:val="normalchar"/>
          <w:rFonts w:ascii="Calibri" w:hAnsi="Calibri" w:cs="Calibri"/>
        </w:rPr>
        <w:t>The increase in Library Instruction Classes results in more students being more familiar with the availability and use of library resources, leading to fewer in-depth questions at the Reference Desk.</w:t>
      </w:r>
    </w:p>
    <w:p w:rsidR="001750A0" w:rsidRPr="00166BE6" w:rsidRDefault="001750A0" w:rsidP="001750A0">
      <w:pPr>
        <w:pStyle w:val="Normal1"/>
        <w:numPr>
          <w:ilvl w:val="1"/>
          <w:numId w:val="14"/>
        </w:numPr>
        <w:rPr>
          <w:rStyle w:val="normalchar"/>
          <w:rFonts w:ascii="Calibri" w:hAnsi="Calibri" w:cs="Calibri"/>
        </w:rPr>
      </w:pPr>
      <w:r w:rsidRPr="00166BE6">
        <w:rPr>
          <w:rStyle w:val="normalchar"/>
          <w:rFonts w:ascii="Calibri" w:hAnsi="Calibri" w:cs="Calibri"/>
        </w:rPr>
        <w:t>Patrons exhibit little patience with waiting and often walk away when the librarian at the desk is busy and there is no one else available.</w:t>
      </w:r>
    </w:p>
    <w:p w:rsidR="001750A0" w:rsidRPr="00166BE6" w:rsidRDefault="001750A0" w:rsidP="001750A0">
      <w:pPr>
        <w:pStyle w:val="Normal1"/>
        <w:ind w:left="720"/>
        <w:rPr>
          <w:rStyle w:val="normalchar"/>
          <w:rFonts w:ascii="Calibri" w:hAnsi="Calibri" w:cs="Calibri"/>
        </w:rPr>
      </w:pPr>
      <w:r w:rsidRPr="00166BE6">
        <w:rPr>
          <w:rStyle w:val="normalchar"/>
          <w:rFonts w:ascii="Calibri" w:hAnsi="Calibri" w:cs="Calibri"/>
        </w:rPr>
        <w:t>The Reference Desk seems to have reached capacity for answering patron questions with the current staffing. Two librarians at the Reference Desk during the busiest parts of the day would be beneficial; however Research Services does not have enough librarians available for anything other than occasional double-staffing at the Reference Desk.</w:t>
      </w:r>
    </w:p>
    <w:p w:rsidR="001750A0" w:rsidRPr="00166BE6" w:rsidRDefault="001750A0" w:rsidP="001750A0">
      <w:pPr>
        <w:pStyle w:val="Normal1"/>
        <w:numPr>
          <w:ilvl w:val="0"/>
          <w:numId w:val="16"/>
        </w:numPr>
        <w:rPr>
          <w:rStyle w:val="list0020paragraphchar"/>
          <w:rFonts w:ascii="Calibri" w:hAnsi="Calibri" w:cs="Calibri"/>
        </w:rPr>
      </w:pPr>
      <w:r w:rsidRPr="00166BE6">
        <w:rPr>
          <w:rStyle w:val="normalchar"/>
          <w:rFonts w:ascii="Calibri" w:hAnsi="Calibri" w:cs="Calibri"/>
          <w:b/>
        </w:rPr>
        <w:t>Library Instruction Service</w:t>
      </w:r>
      <w:r w:rsidRPr="00166BE6">
        <w:rPr>
          <w:rStyle w:val="normalchar"/>
          <w:rFonts w:ascii="Calibri" w:hAnsi="Calibri" w:cs="Calibri"/>
        </w:rPr>
        <w:t xml:space="preserve"> –</w:t>
      </w:r>
      <w:r w:rsidRPr="00166BE6">
        <w:rPr>
          <w:rFonts w:ascii="Calibri" w:hAnsi="Calibri" w:cs="Calibri"/>
          <w:color w:val="000000"/>
        </w:rPr>
        <w:t>In FY 2011, Research Services taught 174 library instruction sessions. In FY 2012, Research Services taught 269 sessions. The number of library instruction attendees has incre</w:t>
      </w:r>
      <w:r w:rsidR="00B21B67">
        <w:rPr>
          <w:rFonts w:ascii="Calibri" w:hAnsi="Calibri" w:cs="Calibri"/>
          <w:color w:val="000000"/>
        </w:rPr>
        <w:t>ased, though not in proportion</w:t>
      </w:r>
      <w:r w:rsidRPr="00166BE6">
        <w:rPr>
          <w:rFonts w:ascii="Calibri" w:hAnsi="Calibri" w:cs="Calibri"/>
          <w:color w:val="000000"/>
        </w:rPr>
        <w:t xml:space="preserve"> to the increase in the number of classes. In FY12, Research Services taught library instruction to a larger number of upper division classes, which have tended to be much smaller than the lower division.</w:t>
      </w:r>
      <w:r w:rsidRPr="00166BE6">
        <w:rPr>
          <w:rFonts w:ascii="Calibri" w:hAnsi="Calibri" w:cs="Calibri"/>
          <w:color w:val="000000"/>
          <w:sz w:val="20"/>
          <w:szCs w:val="20"/>
        </w:rPr>
        <w:br/>
      </w:r>
    </w:p>
    <w:p w:rsidR="001750A0" w:rsidRPr="00166BE6" w:rsidRDefault="001750A0" w:rsidP="001750A0">
      <w:pPr>
        <w:pStyle w:val="Normal1"/>
        <w:numPr>
          <w:ilvl w:val="0"/>
          <w:numId w:val="14"/>
        </w:numPr>
        <w:ind w:left="720"/>
        <w:rPr>
          <w:rStyle w:val="normalchar"/>
          <w:rFonts w:ascii="Calibri" w:hAnsi="Calibri" w:cs="Calibri"/>
        </w:rPr>
      </w:pPr>
      <w:r w:rsidRPr="00166BE6">
        <w:rPr>
          <w:rStyle w:val="normalchar"/>
          <w:rFonts w:ascii="Calibri" w:hAnsi="Calibri" w:cs="Calibri"/>
          <w:b/>
          <w:bCs/>
        </w:rPr>
        <w:t xml:space="preserve">Research and Course Guides </w:t>
      </w:r>
      <w:r w:rsidRPr="00166BE6">
        <w:rPr>
          <w:rStyle w:val="normalchar"/>
          <w:rFonts w:ascii="Calibri" w:hAnsi="Calibri" w:cs="Calibri"/>
        </w:rPr>
        <w:t xml:space="preserve">- The three full-time Research Services librarians continued development of online research subject and course guides, using the Web 2.0 LibGuides development environment.  The guides amassed over 51,000 hits in </w:t>
      </w:r>
      <w:r w:rsidRPr="00166BE6">
        <w:rPr>
          <w:rFonts w:ascii="Calibri" w:hAnsi="Calibri" w:cs="Calibri"/>
          <w:color w:val="000000"/>
        </w:rPr>
        <w:t>c</w:t>
      </w:r>
      <w:r w:rsidRPr="00166BE6">
        <w:rPr>
          <w:rFonts w:ascii="Calibri" w:hAnsi="Calibri" w:cs="Calibri"/>
        </w:rPr>
        <w:t>alendar year 2011 and over 30,000 hits January – June 2012.</w:t>
      </w:r>
    </w:p>
    <w:p w:rsidR="001750A0" w:rsidRPr="00166BE6" w:rsidRDefault="001750A0" w:rsidP="001750A0">
      <w:pPr>
        <w:pStyle w:val="Normal1"/>
        <w:numPr>
          <w:ilvl w:val="0"/>
          <w:numId w:val="14"/>
        </w:numPr>
        <w:ind w:left="720"/>
        <w:rPr>
          <w:rStyle w:val="normalchar"/>
          <w:rFonts w:ascii="Calibri" w:hAnsi="Calibri" w:cs="Calibri"/>
        </w:rPr>
      </w:pPr>
      <w:r w:rsidRPr="00166BE6">
        <w:rPr>
          <w:rStyle w:val="normalchar"/>
          <w:rFonts w:ascii="Calibri" w:hAnsi="Calibri" w:cs="Calibri"/>
          <w:b/>
          <w:bCs/>
        </w:rPr>
        <w:t>Library Building</w:t>
      </w:r>
      <w:r w:rsidRPr="00166BE6">
        <w:rPr>
          <w:rStyle w:val="normalchar"/>
          <w:rFonts w:ascii="Calibri" w:hAnsi="Calibri" w:cs="Calibri"/>
        </w:rPr>
        <w:t xml:space="preserve"> – The department participated in working out the policies for and the bugs in the new library building. Library Instruction Rooms have been made available for non-library GGC workshops.</w:t>
      </w:r>
    </w:p>
    <w:p w:rsidR="001750A0" w:rsidRPr="00166BE6" w:rsidRDefault="001750A0" w:rsidP="001750A0">
      <w:pPr>
        <w:pStyle w:val="Normal1"/>
        <w:outlineLvl w:val="0"/>
        <w:rPr>
          <w:rFonts w:ascii="Calibri" w:hAnsi="Calibri" w:cs="Calibri"/>
        </w:rPr>
      </w:pPr>
    </w:p>
    <w:p w:rsidR="001750A0" w:rsidRPr="00166BE6" w:rsidRDefault="001750A0" w:rsidP="001750A0">
      <w:pPr>
        <w:pStyle w:val="Normal1"/>
        <w:outlineLvl w:val="0"/>
        <w:rPr>
          <w:rFonts w:ascii="Calibri" w:hAnsi="Calibri" w:cs="Calibri"/>
        </w:rPr>
      </w:pPr>
      <w:r w:rsidRPr="00166BE6">
        <w:rPr>
          <w:rStyle w:val="normalchar"/>
          <w:rFonts w:ascii="Calibri" w:hAnsi="Calibri" w:cs="Calibri"/>
          <w:b/>
          <w:bCs/>
        </w:rPr>
        <w:t xml:space="preserve">Goals for 2012-2013: </w:t>
      </w:r>
    </w:p>
    <w:p w:rsidR="001750A0" w:rsidRPr="00166BE6" w:rsidRDefault="001750A0" w:rsidP="001750A0">
      <w:pPr>
        <w:pStyle w:val="Normal1"/>
        <w:numPr>
          <w:ilvl w:val="0"/>
          <w:numId w:val="15"/>
        </w:numPr>
        <w:spacing w:before="0" w:beforeAutospacing="0" w:after="0" w:afterAutospacing="0"/>
        <w:rPr>
          <w:rStyle w:val="normalchar"/>
          <w:rFonts w:ascii="Calibri" w:hAnsi="Calibri" w:cs="Calibri"/>
        </w:rPr>
      </w:pPr>
      <w:r w:rsidRPr="00166BE6">
        <w:rPr>
          <w:rStyle w:val="normalchar"/>
          <w:rFonts w:ascii="Calibri" w:hAnsi="Calibri" w:cs="Calibri"/>
          <w:b/>
          <w:bCs/>
        </w:rPr>
        <w:t>Library Skills/Information Literacy Credit Class</w:t>
      </w:r>
      <w:r w:rsidRPr="00166BE6">
        <w:rPr>
          <w:rStyle w:val="normalchar"/>
          <w:rFonts w:ascii="Calibri" w:hAnsi="Calibri" w:cs="Calibri"/>
        </w:rPr>
        <w:t xml:space="preserve"> – Submit course proposal to the Curriculum Committee for a one hour credit class.</w:t>
      </w:r>
    </w:p>
    <w:p w:rsidR="001750A0" w:rsidRPr="00166BE6" w:rsidRDefault="001750A0" w:rsidP="001750A0">
      <w:pPr>
        <w:pStyle w:val="Normal1"/>
        <w:numPr>
          <w:ilvl w:val="0"/>
          <w:numId w:val="15"/>
        </w:numPr>
        <w:spacing w:before="0" w:beforeAutospacing="0" w:after="0" w:afterAutospacing="0"/>
        <w:rPr>
          <w:rFonts w:ascii="Calibri" w:hAnsi="Calibri" w:cs="Calibri"/>
        </w:rPr>
      </w:pPr>
      <w:r w:rsidRPr="00166BE6">
        <w:rPr>
          <w:rStyle w:val="normalchar"/>
          <w:rFonts w:ascii="Calibri" w:hAnsi="Calibri" w:cs="Calibri"/>
          <w:b/>
          <w:bCs/>
        </w:rPr>
        <w:t>Staffing</w:t>
      </w:r>
      <w:r w:rsidRPr="00166BE6">
        <w:rPr>
          <w:rStyle w:val="normalchar"/>
          <w:rFonts w:ascii="Calibri" w:hAnsi="Calibri" w:cs="Calibri"/>
        </w:rPr>
        <w:t xml:space="preserve"> – Work with Library Administration to increase departmental staffing to better meet the needs to the ever-growing college.</w:t>
      </w:r>
    </w:p>
    <w:p w:rsidR="001750A0" w:rsidRPr="00166BE6" w:rsidRDefault="001750A0" w:rsidP="001750A0">
      <w:pPr>
        <w:pStyle w:val="Normal1"/>
        <w:numPr>
          <w:ilvl w:val="0"/>
          <w:numId w:val="15"/>
        </w:numPr>
        <w:spacing w:after="0" w:afterAutospacing="0"/>
        <w:rPr>
          <w:rStyle w:val="normalchar"/>
          <w:rFonts w:ascii="Calibri" w:hAnsi="Calibri" w:cs="Calibri"/>
          <w:u w:val="single"/>
        </w:rPr>
      </w:pPr>
      <w:r w:rsidRPr="00166BE6">
        <w:rPr>
          <w:rStyle w:val="normalchar"/>
          <w:rFonts w:ascii="Calibri" w:hAnsi="Calibri" w:cs="Calibri"/>
          <w:b/>
          <w:bCs/>
        </w:rPr>
        <w:t xml:space="preserve">Research and Course Guides </w:t>
      </w:r>
      <w:r w:rsidRPr="00166BE6">
        <w:rPr>
          <w:rStyle w:val="normalchar"/>
          <w:rFonts w:ascii="Calibri" w:hAnsi="Calibri" w:cs="Calibri"/>
        </w:rPr>
        <w:t>– Continue development of Research and Course web pages in LibGuides.</w:t>
      </w:r>
    </w:p>
    <w:p w:rsidR="001750A0" w:rsidRPr="00166BE6" w:rsidRDefault="001750A0" w:rsidP="001750A0">
      <w:pPr>
        <w:pStyle w:val="Normal1"/>
        <w:numPr>
          <w:ilvl w:val="0"/>
          <w:numId w:val="15"/>
        </w:numPr>
        <w:spacing w:after="0" w:afterAutospacing="0" w:line="260" w:lineRule="atLeast"/>
        <w:rPr>
          <w:rStyle w:val="normalchar"/>
          <w:rFonts w:ascii="Calibri" w:hAnsi="Calibri" w:cs="Calibri"/>
        </w:rPr>
      </w:pPr>
      <w:r w:rsidRPr="00166BE6">
        <w:rPr>
          <w:rStyle w:val="normalchar"/>
          <w:rFonts w:ascii="Calibri" w:hAnsi="Calibri" w:cs="Calibri"/>
          <w:b/>
          <w:bCs/>
        </w:rPr>
        <w:t xml:space="preserve">Reference Service </w:t>
      </w:r>
      <w:r w:rsidRPr="00166BE6">
        <w:rPr>
          <w:rStyle w:val="normalchar"/>
          <w:rFonts w:ascii="Calibri" w:hAnsi="Calibri" w:cs="Calibri"/>
        </w:rPr>
        <w:t>- Implement Instant Messaging Service for Reference.</w:t>
      </w:r>
    </w:p>
    <w:p w:rsidR="001750A0" w:rsidRPr="00166BE6" w:rsidRDefault="001750A0" w:rsidP="001750A0">
      <w:pPr>
        <w:pStyle w:val="Normal1"/>
        <w:numPr>
          <w:ilvl w:val="0"/>
          <w:numId w:val="15"/>
        </w:numPr>
        <w:spacing w:after="200" w:afterAutospacing="0" w:line="260" w:lineRule="atLeast"/>
        <w:rPr>
          <w:rStyle w:val="normalchar"/>
          <w:rFonts w:ascii="Calibri" w:hAnsi="Calibri" w:cs="Calibri"/>
        </w:rPr>
      </w:pPr>
      <w:r w:rsidRPr="00166BE6">
        <w:rPr>
          <w:rStyle w:val="normalchar"/>
          <w:rFonts w:ascii="Calibri" w:hAnsi="Calibri" w:cs="Calibri"/>
          <w:b/>
        </w:rPr>
        <w:t>Library Instruction</w:t>
      </w:r>
      <w:r w:rsidRPr="00166BE6">
        <w:rPr>
          <w:rStyle w:val="normalchar"/>
          <w:rFonts w:ascii="Calibri" w:hAnsi="Calibri" w:cs="Calibri"/>
        </w:rPr>
        <w:t xml:space="preserve"> – continue to explore technology options for the delivery of library instruction where feasible.</w:t>
      </w:r>
    </w:p>
    <w:p w:rsidR="00A91753" w:rsidRDefault="00A91753" w:rsidP="00A91753">
      <w:pPr>
        <w:spacing w:after="0" w:line="240" w:lineRule="auto"/>
        <w:ind w:left="720"/>
      </w:pPr>
      <w:r>
        <w:br w:type="page"/>
      </w: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A91753" w:rsidRDefault="00A91753" w:rsidP="00A91753">
      <w:pPr>
        <w:spacing w:after="0" w:line="240" w:lineRule="auto"/>
        <w:ind w:left="720"/>
      </w:pPr>
    </w:p>
    <w:p w:rsidR="00FD42CE" w:rsidRPr="00A91753" w:rsidRDefault="00A91753" w:rsidP="00A91753">
      <w:pPr>
        <w:spacing w:after="0" w:line="240" w:lineRule="auto"/>
        <w:ind w:left="720"/>
        <w:jc w:val="center"/>
        <w:rPr>
          <w:rFonts w:ascii="Cambria" w:hAnsi="Cambria"/>
          <w:b/>
          <w:sz w:val="144"/>
          <w:szCs w:val="144"/>
        </w:rPr>
      </w:pPr>
      <w:r w:rsidRPr="00A91753">
        <w:rPr>
          <w:rFonts w:ascii="Cambria" w:hAnsi="Cambria"/>
          <w:b/>
          <w:sz w:val="144"/>
          <w:szCs w:val="144"/>
        </w:rPr>
        <w:t>Statistics</w:t>
      </w:r>
      <w:r w:rsidRPr="00A91753">
        <w:rPr>
          <w:rFonts w:ascii="Cambria" w:hAnsi="Cambria"/>
          <w:b/>
          <w:sz w:val="144"/>
          <w:szCs w:val="144"/>
        </w:rPr>
        <w:br w:type="page"/>
      </w:r>
    </w:p>
    <w:tbl>
      <w:tblPr>
        <w:tblpPr w:leftFromText="180" w:rightFromText="180" w:vertAnchor="text" w:horzAnchor="margin" w:tblpXSpec="center" w:tblpY="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416"/>
        <w:gridCol w:w="1530"/>
        <w:gridCol w:w="1620"/>
      </w:tblGrid>
      <w:tr w:rsidR="00FD42CE" w:rsidRPr="00442250" w:rsidTr="00FD42CE">
        <w:trPr>
          <w:trHeight w:val="440"/>
        </w:trPr>
        <w:tc>
          <w:tcPr>
            <w:tcW w:w="3192" w:type="dxa"/>
          </w:tcPr>
          <w:p w:rsidR="00FD42CE" w:rsidRPr="005933EF" w:rsidRDefault="00FD42CE" w:rsidP="00FD42CE">
            <w:pPr>
              <w:rPr>
                <w:b/>
                <w:sz w:val="28"/>
                <w:szCs w:val="28"/>
              </w:rPr>
            </w:pPr>
            <w:r w:rsidRPr="005933EF">
              <w:rPr>
                <w:b/>
                <w:sz w:val="28"/>
                <w:szCs w:val="28"/>
              </w:rPr>
              <w:t xml:space="preserve">Library </w:t>
            </w:r>
            <w:r>
              <w:rPr>
                <w:b/>
                <w:sz w:val="28"/>
                <w:szCs w:val="28"/>
              </w:rPr>
              <w:t>Attendance</w:t>
            </w:r>
          </w:p>
        </w:tc>
        <w:tc>
          <w:tcPr>
            <w:tcW w:w="1416" w:type="dxa"/>
            <w:vAlign w:val="bottom"/>
          </w:tcPr>
          <w:p w:rsidR="00FD42CE" w:rsidRPr="00442250" w:rsidRDefault="00FD42CE" w:rsidP="00FD42CE">
            <w:pPr>
              <w:jc w:val="center"/>
              <w:rPr>
                <w:b/>
              </w:rPr>
            </w:pPr>
            <w:r w:rsidRPr="00442250">
              <w:rPr>
                <w:b/>
              </w:rPr>
              <w:t>FY10</w:t>
            </w:r>
          </w:p>
        </w:tc>
        <w:tc>
          <w:tcPr>
            <w:tcW w:w="1530" w:type="dxa"/>
            <w:vAlign w:val="bottom"/>
          </w:tcPr>
          <w:p w:rsidR="00FD42CE" w:rsidRPr="00442250" w:rsidRDefault="00FD42CE" w:rsidP="00FD42CE">
            <w:pPr>
              <w:jc w:val="center"/>
              <w:rPr>
                <w:b/>
              </w:rPr>
            </w:pPr>
            <w:r w:rsidRPr="00442250">
              <w:rPr>
                <w:b/>
              </w:rPr>
              <w:t>FY11</w:t>
            </w:r>
          </w:p>
        </w:tc>
        <w:tc>
          <w:tcPr>
            <w:tcW w:w="1620" w:type="dxa"/>
            <w:vAlign w:val="bottom"/>
          </w:tcPr>
          <w:p w:rsidR="00FD42CE" w:rsidRPr="00442250" w:rsidRDefault="00FD42CE" w:rsidP="00FD42CE">
            <w:pPr>
              <w:jc w:val="center"/>
              <w:rPr>
                <w:b/>
              </w:rPr>
            </w:pPr>
            <w:r>
              <w:rPr>
                <w:b/>
              </w:rPr>
              <w:t>FY12</w:t>
            </w:r>
          </w:p>
        </w:tc>
      </w:tr>
      <w:tr w:rsidR="00FD42CE" w:rsidRPr="00442250" w:rsidTr="00FD42CE">
        <w:tc>
          <w:tcPr>
            <w:tcW w:w="3192" w:type="dxa"/>
          </w:tcPr>
          <w:p w:rsidR="00FD42CE" w:rsidRPr="00442250" w:rsidRDefault="00FD42CE" w:rsidP="00FD42CE">
            <w:r>
              <w:rPr>
                <w:b/>
              </w:rPr>
              <w:t xml:space="preserve">Main Library </w:t>
            </w:r>
            <w:r w:rsidRPr="00442250">
              <w:rPr>
                <w:b/>
              </w:rPr>
              <w:t>Gate Count</w:t>
            </w:r>
          </w:p>
        </w:tc>
        <w:tc>
          <w:tcPr>
            <w:tcW w:w="1416" w:type="dxa"/>
            <w:vAlign w:val="bottom"/>
          </w:tcPr>
          <w:p w:rsidR="00FD42CE" w:rsidRPr="00442250" w:rsidRDefault="00FD42CE" w:rsidP="00FD42CE">
            <w:pPr>
              <w:jc w:val="right"/>
            </w:pPr>
            <w:r>
              <w:t>103,184</w:t>
            </w:r>
          </w:p>
        </w:tc>
        <w:tc>
          <w:tcPr>
            <w:tcW w:w="1530" w:type="dxa"/>
            <w:vAlign w:val="bottom"/>
          </w:tcPr>
          <w:p w:rsidR="00FD42CE" w:rsidRPr="00442250" w:rsidRDefault="00FD42CE" w:rsidP="00FD42CE">
            <w:pPr>
              <w:jc w:val="right"/>
            </w:pPr>
            <w:r>
              <w:t>299,390</w:t>
            </w:r>
          </w:p>
        </w:tc>
        <w:tc>
          <w:tcPr>
            <w:tcW w:w="1620" w:type="dxa"/>
            <w:vAlign w:val="bottom"/>
          </w:tcPr>
          <w:p w:rsidR="00FD42CE" w:rsidRDefault="00FD42CE" w:rsidP="00FD42CE">
            <w:pPr>
              <w:jc w:val="right"/>
            </w:pPr>
            <w:r>
              <w:t>433,028</w:t>
            </w:r>
          </w:p>
        </w:tc>
      </w:tr>
      <w:tr w:rsidR="00FD42CE" w:rsidRPr="00442250" w:rsidTr="00FD42CE">
        <w:tc>
          <w:tcPr>
            <w:tcW w:w="3192" w:type="dxa"/>
          </w:tcPr>
          <w:p w:rsidR="00FD42CE" w:rsidRDefault="00FD42CE" w:rsidP="00FD42CE">
            <w:pPr>
              <w:rPr>
                <w:b/>
              </w:rPr>
            </w:pPr>
            <w:r>
              <w:rPr>
                <w:b/>
              </w:rPr>
              <w:t>Info Commons Head Counts</w:t>
            </w:r>
          </w:p>
        </w:tc>
        <w:tc>
          <w:tcPr>
            <w:tcW w:w="1416" w:type="dxa"/>
            <w:vAlign w:val="bottom"/>
          </w:tcPr>
          <w:p w:rsidR="00FD42CE" w:rsidRDefault="00FD42CE" w:rsidP="00FD42CE">
            <w:pPr>
              <w:jc w:val="right"/>
            </w:pPr>
            <w:r>
              <w:rPr>
                <w:rFonts w:ascii="Tahoma" w:hAnsi="Tahoma" w:cs="Tahoma"/>
                <w:color w:val="000000"/>
                <w:sz w:val="20"/>
                <w:szCs w:val="20"/>
              </w:rPr>
              <w:t>105,154</w:t>
            </w:r>
          </w:p>
        </w:tc>
        <w:tc>
          <w:tcPr>
            <w:tcW w:w="1530" w:type="dxa"/>
            <w:vAlign w:val="bottom"/>
          </w:tcPr>
          <w:p w:rsidR="00FD42CE" w:rsidRDefault="00FD42CE" w:rsidP="00FD42CE">
            <w:pPr>
              <w:jc w:val="right"/>
            </w:pPr>
            <w:r>
              <w:t>185,230</w:t>
            </w:r>
          </w:p>
        </w:tc>
        <w:tc>
          <w:tcPr>
            <w:tcW w:w="1620" w:type="dxa"/>
            <w:vAlign w:val="bottom"/>
          </w:tcPr>
          <w:p w:rsidR="00FD42CE" w:rsidRDefault="00FD42CE" w:rsidP="00FD42CE">
            <w:pPr>
              <w:jc w:val="right"/>
            </w:pPr>
            <w:r>
              <w:t>83,974</w:t>
            </w:r>
          </w:p>
        </w:tc>
      </w:tr>
    </w:tbl>
    <w:p w:rsidR="00A91753" w:rsidRPr="00A91753" w:rsidRDefault="00A91753" w:rsidP="00A91753">
      <w:pPr>
        <w:spacing w:after="0" w:line="240" w:lineRule="auto"/>
        <w:ind w:left="720"/>
        <w:jc w:val="center"/>
        <w:rPr>
          <w:rFonts w:ascii="Cambria" w:hAnsi="Cambria"/>
          <w:b/>
          <w:sz w:val="144"/>
          <w:szCs w:val="144"/>
        </w:rPr>
      </w:pPr>
    </w:p>
    <w:p w:rsidR="00A91753" w:rsidRDefault="00A91753" w:rsidP="00A91753">
      <w:pPr>
        <w:ind w:left="720"/>
      </w:pPr>
    </w:p>
    <w:p w:rsidR="00A91753" w:rsidRDefault="00A91753" w:rsidP="00A91753">
      <w:pPr>
        <w:ind w:left="720"/>
        <w:rPr>
          <w:noProof/>
        </w:rPr>
      </w:pPr>
    </w:p>
    <w:tbl>
      <w:tblPr>
        <w:tblpPr w:leftFromText="180" w:rightFromText="180" w:vertAnchor="text" w:horzAnchor="margin" w:tblpXSpec="center" w:tblpY="882"/>
        <w:tblW w:w="5367" w:type="dxa"/>
        <w:tblLook w:val="04A0"/>
      </w:tblPr>
      <w:tblGrid>
        <w:gridCol w:w="2684"/>
        <w:gridCol w:w="763"/>
        <w:gridCol w:w="960"/>
        <w:gridCol w:w="960"/>
      </w:tblGrid>
      <w:tr w:rsidR="00FD42CE" w:rsidRPr="00EA3426" w:rsidTr="00FD42CE">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2CE" w:rsidRPr="0098093F" w:rsidRDefault="00FD42CE" w:rsidP="00FD42CE">
            <w:pPr>
              <w:rPr>
                <w:rFonts w:cs="Calibri"/>
                <w:b/>
                <w:color w:val="000000"/>
              </w:rPr>
            </w:pPr>
            <w:r>
              <w:rPr>
                <w:rFonts w:cs="Calibri"/>
                <w:b/>
                <w:color w:val="000000"/>
              </w:rPr>
              <w:t>Materials Circulation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D42CE" w:rsidRPr="00EA3426" w:rsidRDefault="00FD42CE" w:rsidP="00FD42CE">
            <w:pPr>
              <w:jc w:val="center"/>
              <w:rPr>
                <w:b/>
                <w:bCs/>
                <w:color w:val="000000"/>
              </w:rPr>
            </w:pPr>
            <w:r>
              <w:rPr>
                <w:b/>
                <w:bCs/>
                <w:color w:val="000000"/>
              </w:rPr>
              <w:t>FY10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D42CE" w:rsidRPr="00EA3426" w:rsidRDefault="00FD42CE" w:rsidP="00FD42CE">
            <w:pPr>
              <w:jc w:val="center"/>
              <w:rPr>
                <w:b/>
                <w:bCs/>
                <w:color w:val="000000"/>
              </w:rPr>
            </w:pPr>
            <w:r>
              <w:rPr>
                <w:b/>
                <w:bCs/>
                <w:color w:val="000000"/>
              </w:rPr>
              <w:t>FY11</w:t>
            </w:r>
          </w:p>
        </w:tc>
        <w:tc>
          <w:tcPr>
            <w:tcW w:w="960" w:type="dxa"/>
            <w:tcBorders>
              <w:top w:val="single" w:sz="4" w:space="0" w:color="auto"/>
              <w:left w:val="nil"/>
              <w:bottom w:val="single" w:sz="4" w:space="0" w:color="auto"/>
              <w:right w:val="single" w:sz="4" w:space="0" w:color="auto"/>
            </w:tcBorders>
            <w:vAlign w:val="bottom"/>
          </w:tcPr>
          <w:p w:rsidR="00FD42CE" w:rsidRPr="00EA3426" w:rsidRDefault="00FD42CE" w:rsidP="00FD42CE">
            <w:pPr>
              <w:jc w:val="center"/>
              <w:rPr>
                <w:b/>
                <w:bCs/>
                <w:color w:val="000000"/>
              </w:rPr>
            </w:pPr>
            <w:r>
              <w:rPr>
                <w:b/>
                <w:bCs/>
                <w:color w:val="000000"/>
              </w:rPr>
              <w:t>FY12</w:t>
            </w:r>
          </w:p>
        </w:tc>
      </w:tr>
      <w:tr w:rsidR="00FD42CE" w:rsidRPr="00EA3426" w:rsidTr="00FD42CE">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D42CE" w:rsidRPr="00EA3426" w:rsidRDefault="00FD42CE" w:rsidP="00FD42CE">
            <w:pPr>
              <w:rPr>
                <w:b/>
                <w:bCs/>
                <w:color w:val="000000"/>
              </w:rPr>
            </w:pPr>
            <w:r w:rsidRPr="00EA3426">
              <w:rPr>
                <w:b/>
                <w:bCs/>
                <w:color w:val="000000"/>
              </w:rPr>
              <w:t>Reserve Items</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A3426" w:rsidRDefault="00FD42CE" w:rsidP="00FD42CE">
            <w:pPr>
              <w:jc w:val="right"/>
              <w:rPr>
                <w:color w:val="000000"/>
              </w:rPr>
            </w:pPr>
            <w:r>
              <w:rPr>
                <w:color w:val="000000"/>
              </w:rPr>
              <w:t>2,522</w:t>
            </w:r>
          </w:p>
        </w:tc>
        <w:tc>
          <w:tcPr>
            <w:tcW w:w="960" w:type="dxa"/>
            <w:tcBorders>
              <w:top w:val="nil"/>
              <w:left w:val="nil"/>
              <w:bottom w:val="single" w:sz="4" w:space="0" w:color="auto"/>
              <w:right w:val="single" w:sz="4" w:space="0" w:color="auto"/>
            </w:tcBorders>
            <w:shd w:val="clear" w:color="auto" w:fill="auto"/>
            <w:noWrap/>
            <w:vAlign w:val="bottom"/>
            <w:hideMark/>
          </w:tcPr>
          <w:p w:rsidR="00FD42CE" w:rsidRPr="00EA3426" w:rsidRDefault="00FD42CE" w:rsidP="00FD42CE">
            <w:pPr>
              <w:jc w:val="right"/>
              <w:rPr>
                <w:color w:val="000000"/>
              </w:rPr>
            </w:pPr>
            <w:r>
              <w:rPr>
                <w:color w:val="000000"/>
              </w:rPr>
              <w:t>4,710</w:t>
            </w:r>
          </w:p>
        </w:tc>
        <w:tc>
          <w:tcPr>
            <w:tcW w:w="960" w:type="dxa"/>
            <w:tcBorders>
              <w:top w:val="nil"/>
              <w:left w:val="nil"/>
              <w:bottom w:val="single" w:sz="4" w:space="0" w:color="auto"/>
              <w:right w:val="single" w:sz="4" w:space="0" w:color="auto"/>
            </w:tcBorders>
            <w:vAlign w:val="bottom"/>
          </w:tcPr>
          <w:p w:rsidR="00FD42CE" w:rsidRDefault="00FD42CE" w:rsidP="00FD42CE">
            <w:pPr>
              <w:jc w:val="right"/>
              <w:rPr>
                <w:color w:val="000000"/>
              </w:rPr>
            </w:pPr>
            <w:r>
              <w:rPr>
                <w:color w:val="000000"/>
              </w:rPr>
              <w:t>7090</w:t>
            </w:r>
          </w:p>
        </w:tc>
      </w:tr>
      <w:tr w:rsidR="00FD42CE" w:rsidRPr="00EA3426" w:rsidTr="00FD42CE">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D42CE" w:rsidRPr="00EA3426" w:rsidRDefault="00FD42CE" w:rsidP="00FD42CE">
            <w:pPr>
              <w:rPr>
                <w:b/>
                <w:bCs/>
                <w:color w:val="000000"/>
              </w:rPr>
            </w:pPr>
            <w:r w:rsidRPr="00EA3426">
              <w:rPr>
                <w:b/>
                <w:bCs/>
                <w:color w:val="000000"/>
              </w:rPr>
              <w:t>Circulating Items</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A3426" w:rsidRDefault="00FD42CE" w:rsidP="00FD42CE">
            <w:pPr>
              <w:jc w:val="right"/>
              <w:rPr>
                <w:color w:val="000000"/>
              </w:rPr>
            </w:pPr>
            <w:r>
              <w:rPr>
                <w:color w:val="000000"/>
              </w:rPr>
              <w:t>5,905</w:t>
            </w:r>
          </w:p>
        </w:tc>
        <w:tc>
          <w:tcPr>
            <w:tcW w:w="960" w:type="dxa"/>
            <w:tcBorders>
              <w:top w:val="nil"/>
              <w:left w:val="nil"/>
              <w:bottom w:val="single" w:sz="4" w:space="0" w:color="auto"/>
              <w:right w:val="single" w:sz="4" w:space="0" w:color="auto"/>
            </w:tcBorders>
            <w:shd w:val="clear" w:color="auto" w:fill="auto"/>
            <w:noWrap/>
            <w:vAlign w:val="bottom"/>
            <w:hideMark/>
          </w:tcPr>
          <w:p w:rsidR="00FD42CE" w:rsidRPr="00EA3426" w:rsidRDefault="00FD42CE" w:rsidP="00FD42CE">
            <w:pPr>
              <w:jc w:val="right"/>
              <w:rPr>
                <w:color w:val="000000"/>
              </w:rPr>
            </w:pPr>
            <w:r>
              <w:rPr>
                <w:color w:val="000000"/>
              </w:rPr>
              <w:t>15,373</w:t>
            </w:r>
          </w:p>
        </w:tc>
        <w:tc>
          <w:tcPr>
            <w:tcW w:w="960" w:type="dxa"/>
            <w:tcBorders>
              <w:top w:val="nil"/>
              <w:left w:val="nil"/>
              <w:bottom w:val="single" w:sz="4" w:space="0" w:color="auto"/>
              <w:right w:val="single" w:sz="4" w:space="0" w:color="auto"/>
            </w:tcBorders>
            <w:vAlign w:val="bottom"/>
          </w:tcPr>
          <w:p w:rsidR="00FD42CE" w:rsidRDefault="00FD42CE" w:rsidP="00FD42CE">
            <w:pPr>
              <w:jc w:val="right"/>
              <w:rPr>
                <w:color w:val="000000"/>
              </w:rPr>
            </w:pPr>
            <w:r>
              <w:rPr>
                <w:color w:val="000000"/>
              </w:rPr>
              <w:t>17,932</w:t>
            </w:r>
          </w:p>
        </w:tc>
      </w:tr>
      <w:tr w:rsidR="00FD42CE" w:rsidRPr="00EA3426" w:rsidTr="00FD42CE">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D42CE" w:rsidRPr="00EA3426" w:rsidRDefault="00FD42CE" w:rsidP="00FD42CE">
            <w:pPr>
              <w:rPr>
                <w:b/>
                <w:bCs/>
                <w:color w:val="000000"/>
              </w:rPr>
            </w:pPr>
            <w:r w:rsidRPr="00EA3426">
              <w:rPr>
                <w:b/>
                <w:bCs/>
                <w:color w:val="000000"/>
              </w:rPr>
              <w:t xml:space="preserve">Total </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A3426" w:rsidRDefault="00FD42CE" w:rsidP="00FD42CE">
            <w:pPr>
              <w:jc w:val="right"/>
              <w:rPr>
                <w:color w:val="000000"/>
              </w:rPr>
            </w:pPr>
            <w:r>
              <w:rPr>
                <w:color w:val="000000"/>
              </w:rPr>
              <w:t>8,427</w:t>
            </w:r>
          </w:p>
        </w:tc>
        <w:tc>
          <w:tcPr>
            <w:tcW w:w="960" w:type="dxa"/>
            <w:tcBorders>
              <w:top w:val="nil"/>
              <w:left w:val="nil"/>
              <w:bottom w:val="single" w:sz="4" w:space="0" w:color="auto"/>
              <w:right w:val="single" w:sz="4" w:space="0" w:color="auto"/>
            </w:tcBorders>
            <w:shd w:val="clear" w:color="auto" w:fill="auto"/>
            <w:noWrap/>
            <w:vAlign w:val="bottom"/>
            <w:hideMark/>
          </w:tcPr>
          <w:p w:rsidR="00FD42CE" w:rsidRPr="00EA3426" w:rsidRDefault="00FD42CE" w:rsidP="00FD42CE">
            <w:pPr>
              <w:jc w:val="right"/>
              <w:rPr>
                <w:color w:val="000000"/>
              </w:rPr>
            </w:pPr>
            <w:r>
              <w:rPr>
                <w:color w:val="000000"/>
              </w:rPr>
              <w:t>20,083</w:t>
            </w:r>
          </w:p>
        </w:tc>
        <w:tc>
          <w:tcPr>
            <w:tcW w:w="960" w:type="dxa"/>
            <w:tcBorders>
              <w:top w:val="nil"/>
              <w:left w:val="nil"/>
              <w:bottom w:val="single" w:sz="4" w:space="0" w:color="auto"/>
              <w:right w:val="single" w:sz="4" w:space="0" w:color="auto"/>
            </w:tcBorders>
            <w:vAlign w:val="bottom"/>
          </w:tcPr>
          <w:p w:rsidR="00FD42CE" w:rsidRDefault="00FD42CE" w:rsidP="00FD42CE">
            <w:pPr>
              <w:jc w:val="right"/>
              <w:rPr>
                <w:color w:val="000000"/>
              </w:rPr>
            </w:pPr>
            <w:r>
              <w:rPr>
                <w:color w:val="000000"/>
              </w:rPr>
              <w:t>25,022</w:t>
            </w:r>
          </w:p>
        </w:tc>
      </w:tr>
    </w:tbl>
    <w:p w:rsidR="00A91753" w:rsidRDefault="00A91753" w:rsidP="00A91753">
      <w:pPr>
        <w:ind w:left="720"/>
        <w:rPr>
          <w:noProof/>
        </w:rPr>
      </w:pPr>
    </w:p>
    <w:p w:rsidR="00A91753" w:rsidRDefault="00A91753" w:rsidP="00A91753">
      <w:pPr>
        <w:ind w:left="720"/>
        <w:rPr>
          <w:noProof/>
        </w:rPr>
      </w:pPr>
    </w:p>
    <w:p w:rsidR="00A91753" w:rsidRDefault="00A91753" w:rsidP="00A91753">
      <w:pPr>
        <w:ind w:left="720"/>
        <w:rPr>
          <w:noProof/>
        </w:rPr>
      </w:pPr>
    </w:p>
    <w:p w:rsidR="00A91753" w:rsidRDefault="00A91753" w:rsidP="00A91753">
      <w:pPr>
        <w:ind w:left="720"/>
        <w:rPr>
          <w:noProof/>
        </w:rPr>
      </w:pPr>
    </w:p>
    <w:p w:rsidR="008B1E50" w:rsidRDefault="008B1E50" w:rsidP="00A91753"/>
    <w:p w:rsidR="008C66A3" w:rsidRDefault="008C66A3" w:rsidP="00A91753"/>
    <w:tbl>
      <w:tblPr>
        <w:tblpPr w:leftFromText="180" w:rightFromText="180" w:vertAnchor="text" w:horzAnchor="margin" w:tblpXSpec="center" w:tblpY="993"/>
        <w:tblOverlap w:val="never"/>
        <w:tblW w:w="6427" w:type="dxa"/>
        <w:tblBorders>
          <w:top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170"/>
        <w:gridCol w:w="1080"/>
        <w:gridCol w:w="829"/>
      </w:tblGrid>
      <w:tr w:rsidR="00FD42CE" w:rsidRPr="00CC7099" w:rsidTr="00FD42CE">
        <w:trPr>
          <w:trHeight w:val="335"/>
        </w:trPr>
        <w:tc>
          <w:tcPr>
            <w:tcW w:w="3348" w:type="dxa"/>
            <w:tcBorders>
              <w:left w:val="single" w:sz="4" w:space="0" w:color="auto"/>
            </w:tcBorders>
            <w:shd w:val="clear" w:color="auto" w:fill="auto"/>
            <w:noWrap/>
            <w:vAlign w:val="bottom"/>
            <w:hideMark/>
          </w:tcPr>
          <w:p w:rsidR="00FD42CE" w:rsidRPr="0098093F" w:rsidRDefault="00FD42CE" w:rsidP="00FD42CE">
            <w:pPr>
              <w:rPr>
                <w:rFonts w:cs="Calibri"/>
                <w:b/>
                <w:bCs/>
                <w:color w:val="000000"/>
              </w:rPr>
            </w:pPr>
            <w:r>
              <w:rPr>
                <w:rFonts w:cs="Calibri"/>
                <w:b/>
                <w:bCs/>
                <w:color w:val="000000"/>
              </w:rPr>
              <w:t>Access Services</w:t>
            </w:r>
            <w:r w:rsidRPr="0098093F">
              <w:rPr>
                <w:rFonts w:cs="Calibri"/>
                <w:b/>
                <w:bCs/>
                <w:color w:val="000000"/>
              </w:rPr>
              <w:t xml:space="preserve"> </w:t>
            </w:r>
            <w:r>
              <w:rPr>
                <w:rFonts w:cs="Calibri"/>
                <w:b/>
                <w:bCs/>
                <w:color w:val="000000"/>
              </w:rPr>
              <w:t>Interactions</w:t>
            </w:r>
          </w:p>
        </w:tc>
        <w:tc>
          <w:tcPr>
            <w:tcW w:w="1170" w:type="dxa"/>
            <w:shd w:val="clear" w:color="auto" w:fill="auto"/>
            <w:noWrap/>
            <w:vAlign w:val="bottom"/>
            <w:hideMark/>
          </w:tcPr>
          <w:p w:rsidR="00FD42CE" w:rsidRPr="0098093F" w:rsidRDefault="00FD42CE" w:rsidP="00FD42CE">
            <w:pPr>
              <w:jc w:val="center"/>
              <w:rPr>
                <w:rFonts w:cs="Calibri"/>
                <w:b/>
                <w:bCs/>
                <w:color w:val="000000"/>
              </w:rPr>
            </w:pPr>
            <w:r w:rsidRPr="0098093F">
              <w:rPr>
                <w:rFonts w:cs="Calibri"/>
                <w:b/>
                <w:bCs/>
                <w:color w:val="000000"/>
              </w:rPr>
              <w:t>FY10</w:t>
            </w:r>
          </w:p>
        </w:tc>
        <w:tc>
          <w:tcPr>
            <w:tcW w:w="1080" w:type="dxa"/>
            <w:shd w:val="clear" w:color="auto" w:fill="auto"/>
            <w:noWrap/>
            <w:vAlign w:val="bottom"/>
            <w:hideMark/>
          </w:tcPr>
          <w:p w:rsidR="00FD42CE" w:rsidRPr="0098093F" w:rsidRDefault="00FD42CE" w:rsidP="00FD42CE">
            <w:pPr>
              <w:jc w:val="center"/>
              <w:rPr>
                <w:rFonts w:cs="Calibri"/>
                <w:b/>
                <w:bCs/>
                <w:color w:val="000000"/>
              </w:rPr>
            </w:pPr>
            <w:r w:rsidRPr="0098093F">
              <w:rPr>
                <w:rFonts w:cs="Calibri"/>
                <w:b/>
                <w:bCs/>
                <w:color w:val="000000"/>
              </w:rPr>
              <w:t>FY11</w:t>
            </w:r>
          </w:p>
        </w:tc>
        <w:tc>
          <w:tcPr>
            <w:tcW w:w="829" w:type="dxa"/>
          </w:tcPr>
          <w:p w:rsidR="00FD42CE" w:rsidRDefault="00FD42CE" w:rsidP="00FD42CE">
            <w:pPr>
              <w:rPr>
                <w:b/>
                <w:bCs/>
                <w:color w:val="000000"/>
              </w:rPr>
            </w:pPr>
            <w:r>
              <w:rPr>
                <w:b/>
                <w:bCs/>
                <w:color w:val="000000"/>
              </w:rPr>
              <w:t>FY12</w:t>
            </w:r>
          </w:p>
        </w:tc>
      </w:tr>
      <w:tr w:rsidR="00FD42CE" w:rsidRPr="00CC7099" w:rsidTr="00FD42CE">
        <w:trPr>
          <w:trHeight w:val="344"/>
        </w:trPr>
        <w:tc>
          <w:tcPr>
            <w:tcW w:w="3348" w:type="dxa"/>
            <w:tcBorders>
              <w:left w:val="single" w:sz="4" w:space="0" w:color="auto"/>
            </w:tcBorders>
            <w:shd w:val="clear" w:color="auto" w:fill="auto"/>
            <w:vAlign w:val="bottom"/>
            <w:hideMark/>
          </w:tcPr>
          <w:p w:rsidR="00FD42CE" w:rsidRPr="0098093F" w:rsidRDefault="00FD42CE" w:rsidP="00FD42CE">
            <w:pPr>
              <w:rPr>
                <w:rFonts w:cs="Calibri"/>
                <w:b/>
                <w:bCs/>
                <w:color w:val="000000"/>
              </w:rPr>
            </w:pPr>
            <w:r w:rsidRPr="0098093F">
              <w:rPr>
                <w:rFonts w:cs="Calibri"/>
                <w:b/>
                <w:bCs/>
                <w:color w:val="000000"/>
              </w:rPr>
              <w:t>Circulation Desk Interactions</w:t>
            </w:r>
          </w:p>
        </w:tc>
        <w:tc>
          <w:tcPr>
            <w:tcW w:w="117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9,157</w:t>
            </w:r>
          </w:p>
        </w:tc>
        <w:tc>
          <w:tcPr>
            <w:tcW w:w="108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6,431</w:t>
            </w:r>
          </w:p>
        </w:tc>
        <w:tc>
          <w:tcPr>
            <w:tcW w:w="829" w:type="dxa"/>
          </w:tcPr>
          <w:p w:rsidR="00FD42CE" w:rsidRDefault="00FD42CE" w:rsidP="00FD42CE">
            <w:pPr>
              <w:jc w:val="right"/>
              <w:rPr>
                <w:color w:val="000000"/>
              </w:rPr>
            </w:pPr>
            <w:r>
              <w:rPr>
                <w:color w:val="000000"/>
              </w:rPr>
              <w:t>20,176</w:t>
            </w:r>
          </w:p>
        </w:tc>
      </w:tr>
      <w:tr w:rsidR="00FD42CE" w:rsidRPr="00CC7099" w:rsidTr="00FD42CE">
        <w:trPr>
          <w:trHeight w:val="320"/>
        </w:trPr>
        <w:tc>
          <w:tcPr>
            <w:tcW w:w="3348" w:type="dxa"/>
            <w:tcBorders>
              <w:left w:val="single" w:sz="4" w:space="0" w:color="auto"/>
            </w:tcBorders>
            <w:shd w:val="clear" w:color="auto" w:fill="auto"/>
            <w:noWrap/>
            <w:vAlign w:val="bottom"/>
            <w:hideMark/>
          </w:tcPr>
          <w:p w:rsidR="00FD42CE" w:rsidRPr="0098093F" w:rsidRDefault="00FD42CE" w:rsidP="00FD42CE">
            <w:pPr>
              <w:rPr>
                <w:rFonts w:cs="Calibri"/>
                <w:b/>
                <w:bCs/>
                <w:color w:val="000000"/>
              </w:rPr>
            </w:pPr>
            <w:r w:rsidRPr="0098093F">
              <w:rPr>
                <w:rFonts w:cs="Calibri"/>
                <w:b/>
                <w:bCs/>
                <w:color w:val="000000"/>
              </w:rPr>
              <w:t xml:space="preserve">Copier Questions </w:t>
            </w:r>
          </w:p>
        </w:tc>
        <w:tc>
          <w:tcPr>
            <w:tcW w:w="117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351</w:t>
            </w:r>
          </w:p>
        </w:tc>
        <w:tc>
          <w:tcPr>
            <w:tcW w:w="108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206</w:t>
            </w:r>
          </w:p>
        </w:tc>
        <w:tc>
          <w:tcPr>
            <w:tcW w:w="829" w:type="dxa"/>
          </w:tcPr>
          <w:p w:rsidR="00FD42CE" w:rsidRDefault="00FD42CE" w:rsidP="00FD42CE">
            <w:pPr>
              <w:jc w:val="right"/>
              <w:rPr>
                <w:color w:val="000000"/>
              </w:rPr>
            </w:pPr>
            <w:r>
              <w:rPr>
                <w:color w:val="000000"/>
              </w:rPr>
              <w:t>250</w:t>
            </w:r>
          </w:p>
        </w:tc>
      </w:tr>
      <w:tr w:rsidR="00FD42CE" w:rsidRPr="00CC7099" w:rsidTr="00FD42CE">
        <w:trPr>
          <w:trHeight w:val="320"/>
        </w:trPr>
        <w:tc>
          <w:tcPr>
            <w:tcW w:w="3348" w:type="dxa"/>
            <w:tcBorders>
              <w:left w:val="single" w:sz="4" w:space="0" w:color="auto"/>
            </w:tcBorders>
            <w:shd w:val="clear" w:color="auto" w:fill="auto"/>
            <w:noWrap/>
            <w:vAlign w:val="bottom"/>
            <w:hideMark/>
          </w:tcPr>
          <w:p w:rsidR="00FD42CE" w:rsidRPr="0098093F" w:rsidRDefault="006F2092" w:rsidP="00FD42CE">
            <w:pPr>
              <w:rPr>
                <w:rFonts w:cs="Calibri"/>
                <w:b/>
                <w:bCs/>
                <w:color w:val="000000"/>
              </w:rPr>
            </w:pPr>
            <w:r>
              <w:rPr>
                <w:rFonts w:cs="Calibri"/>
                <w:b/>
                <w:bCs/>
                <w:color w:val="000000"/>
              </w:rPr>
              <w:t xml:space="preserve">Printing </w:t>
            </w:r>
            <w:r w:rsidR="00CA171E">
              <w:rPr>
                <w:rFonts w:cs="Calibri"/>
                <w:b/>
                <w:bCs/>
                <w:color w:val="000000"/>
              </w:rPr>
              <w:t>Questions</w:t>
            </w:r>
          </w:p>
        </w:tc>
        <w:tc>
          <w:tcPr>
            <w:tcW w:w="117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1,635</w:t>
            </w:r>
          </w:p>
        </w:tc>
        <w:tc>
          <w:tcPr>
            <w:tcW w:w="108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169</w:t>
            </w:r>
          </w:p>
        </w:tc>
        <w:tc>
          <w:tcPr>
            <w:tcW w:w="829" w:type="dxa"/>
          </w:tcPr>
          <w:p w:rsidR="00FD42CE" w:rsidRDefault="00FD42CE" w:rsidP="00FD42CE">
            <w:pPr>
              <w:jc w:val="right"/>
              <w:rPr>
                <w:color w:val="000000"/>
              </w:rPr>
            </w:pPr>
            <w:r>
              <w:rPr>
                <w:color w:val="000000"/>
              </w:rPr>
              <w:t>1289</w:t>
            </w:r>
          </w:p>
        </w:tc>
      </w:tr>
      <w:tr w:rsidR="00FD42CE" w:rsidRPr="00CC7099" w:rsidTr="00FD42CE">
        <w:trPr>
          <w:trHeight w:val="320"/>
        </w:trPr>
        <w:tc>
          <w:tcPr>
            <w:tcW w:w="3348" w:type="dxa"/>
            <w:tcBorders>
              <w:left w:val="single" w:sz="4" w:space="0" w:color="auto"/>
            </w:tcBorders>
            <w:shd w:val="clear" w:color="auto" w:fill="auto"/>
            <w:noWrap/>
            <w:vAlign w:val="bottom"/>
            <w:hideMark/>
          </w:tcPr>
          <w:p w:rsidR="00FD42CE" w:rsidRPr="0098093F" w:rsidRDefault="00FD42CE" w:rsidP="00FD42CE">
            <w:pPr>
              <w:rPr>
                <w:rFonts w:cs="Calibri"/>
                <w:b/>
                <w:bCs/>
                <w:color w:val="000000"/>
              </w:rPr>
            </w:pPr>
            <w:r w:rsidRPr="0098093F">
              <w:rPr>
                <w:rFonts w:cs="Calibri"/>
                <w:b/>
                <w:bCs/>
                <w:color w:val="000000"/>
              </w:rPr>
              <w:t>Reference Referrals</w:t>
            </w:r>
          </w:p>
        </w:tc>
        <w:tc>
          <w:tcPr>
            <w:tcW w:w="117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370</w:t>
            </w:r>
          </w:p>
        </w:tc>
        <w:tc>
          <w:tcPr>
            <w:tcW w:w="108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453</w:t>
            </w:r>
          </w:p>
        </w:tc>
        <w:tc>
          <w:tcPr>
            <w:tcW w:w="829" w:type="dxa"/>
          </w:tcPr>
          <w:p w:rsidR="00FD42CE" w:rsidRDefault="00FD42CE" w:rsidP="00FD42CE">
            <w:pPr>
              <w:jc w:val="right"/>
              <w:rPr>
                <w:color w:val="000000"/>
              </w:rPr>
            </w:pPr>
            <w:r>
              <w:rPr>
                <w:color w:val="000000"/>
              </w:rPr>
              <w:t>424</w:t>
            </w:r>
          </w:p>
        </w:tc>
      </w:tr>
      <w:tr w:rsidR="00FD42CE" w:rsidRPr="00CC7099" w:rsidTr="00FD42CE">
        <w:trPr>
          <w:trHeight w:val="320"/>
        </w:trPr>
        <w:tc>
          <w:tcPr>
            <w:tcW w:w="3348" w:type="dxa"/>
            <w:tcBorders>
              <w:left w:val="single" w:sz="4" w:space="0" w:color="auto"/>
            </w:tcBorders>
            <w:shd w:val="clear" w:color="auto" w:fill="auto"/>
            <w:noWrap/>
            <w:vAlign w:val="bottom"/>
            <w:hideMark/>
          </w:tcPr>
          <w:p w:rsidR="00FD42CE" w:rsidRPr="0098093F" w:rsidRDefault="00FD42CE" w:rsidP="00FD42CE">
            <w:pPr>
              <w:rPr>
                <w:rFonts w:cs="Calibri"/>
                <w:b/>
                <w:bCs/>
                <w:color w:val="000000"/>
              </w:rPr>
            </w:pPr>
            <w:r w:rsidRPr="0098093F">
              <w:rPr>
                <w:rFonts w:cs="Calibri"/>
                <w:b/>
                <w:bCs/>
                <w:color w:val="000000"/>
              </w:rPr>
              <w:t>Other</w:t>
            </w:r>
          </w:p>
        </w:tc>
        <w:tc>
          <w:tcPr>
            <w:tcW w:w="117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1,903</w:t>
            </w:r>
          </w:p>
        </w:tc>
        <w:tc>
          <w:tcPr>
            <w:tcW w:w="108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1,911</w:t>
            </w:r>
          </w:p>
        </w:tc>
        <w:tc>
          <w:tcPr>
            <w:tcW w:w="829" w:type="dxa"/>
          </w:tcPr>
          <w:p w:rsidR="00FD42CE" w:rsidRDefault="00FD42CE" w:rsidP="00FD42CE">
            <w:pPr>
              <w:jc w:val="right"/>
              <w:rPr>
                <w:color w:val="000000"/>
              </w:rPr>
            </w:pPr>
            <w:r>
              <w:rPr>
                <w:color w:val="000000"/>
              </w:rPr>
              <w:t>8269</w:t>
            </w:r>
          </w:p>
        </w:tc>
      </w:tr>
      <w:tr w:rsidR="00FD42CE" w:rsidRPr="00CC7099" w:rsidTr="00FD42CE">
        <w:trPr>
          <w:trHeight w:val="335"/>
        </w:trPr>
        <w:tc>
          <w:tcPr>
            <w:tcW w:w="3348" w:type="dxa"/>
            <w:tcBorders>
              <w:left w:val="single" w:sz="4" w:space="0" w:color="auto"/>
            </w:tcBorders>
            <w:shd w:val="clear" w:color="auto" w:fill="auto"/>
            <w:noWrap/>
            <w:vAlign w:val="bottom"/>
            <w:hideMark/>
          </w:tcPr>
          <w:p w:rsidR="00FD42CE" w:rsidRPr="0098093F" w:rsidRDefault="00FD42CE" w:rsidP="00FD42CE">
            <w:pPr>
              <w:rPr>
                <w:rFonts w:cs="Calibri"/>
                <w:b/>
                <w:bCs/>
                <w:color w:val="000000"/>
              </w:rPr>
            </w:pPr>
            <w:r w:rsidRPr="0098093F">
              <w:rPr>
                <w:rFonts w:cs="Calibri"/>
                <w:b/>
                <w:bCs/>
                <w:color w:val="000000"/>
              </w:rPr>
              <w:t>Total</w:t>
            </w:r>
          </w:p>
        </w:tc>
        <w:tc>
          <w:tcPr>
            <w:tcW w:w="117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12,599</w:t>
            </w:r>
          </w:p>
        </w:tc>
        <w:tc>
          <w:tcPr>
            <w:tcW w:w="1080" w:type="dxa"/>
            <w:shd w:val="clear" w:color="auto" w:fill="auto"/>
            <w:noWrap/>
            <w:vAlign w:val="bottom"/>
            <w:hideMark/>
          </w:tcPr>
          <w:p w:rsidR="00FD42CE" w:rsidRPr="0098093F" w:rsidRDefault="00FD42CE" w:rsidP="00FD42CE">
            <w:pPr>
              <w:jc w:val="right"/>
              <w:rPr>
                <w:rFonts w:cs="Calibri"/>
                <w:color w:val="000000"/>
              </w:rPr>
            </w:pPr>
            <w:r w:rsidRPr="0098093F">
              <w:rPr>
                <w:rFonts w:cs="Calibri"/>
                <w:color w:val="000000"/>
              </w:rPr>
              <w:t>9,170</w:t>
            </w:r>
          </w:p>
        </w:tc>
        <w:tc>
          <w:tcPr>
            <w:tcW w:w="829" w:type="dxa"/>
          </w:tcPr>
          <w:p w:rsidR="00FD42CE" w:rsidRDefault="00FD42CE" w:rsidP="00FD42CE">
            <w:pPr>
              <w:jc w:val="right"/>
              <w:rPr>
                <w:color w:val="000000"/>
              </w:rPr>
            </w:pPr>
            <w:r>
              <w:rPr>
                <w:color w:val="000000"/>
              </w:rPr>
              <w:t>30,158</w:t>
            </w:r>
          </w:p>
        </w:tc>
      </w:tr>
    </w:tbl>
    <w:p w:rsidR="008C66A3" w:rsidRPr="008C66A3" w:rsidRDefault="008C66A3" w:rsidP="008C66A3"/>
    <w:p w:rsidR="008C66A3" w:rsidRPr="008C66A3" w:rsidRDefault="008C66A3" w:rsidP="008C66A3"/>
    <w:p w:rsidR="008C66A3" w:rsidRPr="008C66A3" w:rsidRDefault="008C66A3" w:rsidP="008C66A3"/>
    <w:p w:rsidR="008C66A3" w:rsidRPr="008C66A3" w:rsidRDefault="008C66A3" w:rsidP="008C66A3"/>
    <w:tbl>
      <w:tblPr>
        <w:tblpPr w:leftFromText="180" w:rightFromText="180" w:vertAnchor="text" w:horzAnchor="margin" w:tblpXSpec="center" w:tblpY="-935"/>
        <w:tblW w:w="6318" w:type="dxa"/>
        <w:tblLook w:val="04A0"/>
      </w:tblPr>
      <w:tblGrid>
        <w:gridCol w:w="3348"/>
        <w:gridCol w:w="892"/>
        <w:gridCol w:w="278"/>
        <w:gridCol w:w="900"/>
        <w:gridCol w:w="900"/>
      </w:tblGrid>
      <w:tr w:rsidR="00FD42CE" w:rsidRPr="0049620F" w:rsidTr="00FD42CE">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2CE" w:rsidRPr="00991BB7" w:rsidRDefault="00FD42CE" w:rsidP="00FD42CE">
            <w:pPr>
              <w:rPr>
                <w:rFonts w:cs="Calibri"/>
                <w:b/>
                <w:bCs/>
                <w:color w:val="000000"/>
              </w:rPr>
            </w:pPr>
            <w:r w:rsidRPr="00991BB7">
              <w:rPr>
                <w:rFonts w:cs="Calibri"/>
                <w:b/>
                <w:bCs/>
                <w:color w:val="000000"/>
              </w:rPr>
              <w:t>Interlibrary Loan as Lender</w:t>
            </w:r>
          </w:p>
        </w:tc>
        <w:tc>
          <w:tcPr>
            <w:tcW w:w="892" w:type="dxa"/>
            <w:tcBorders>
              <w:top w:val="single" w:sz="4" w:space="0" w:color="auto"/>
              <w:left w:val="nil"/>
              <w:bottom w:val="single" w:sz="4" w:space="0" w:color="auto"/>
              <w:right w:val="nil"/>
            </w:tcBorders>
            <w:vAlign w:val="bottom"/>
          </w:tcPr>
          <w:p w:rsidR="00FD42CE" w:rsidRPr="00991BB7" w:rsidRDefault="00FD42CE" w:rsidP="00FD42CE">
            <w:pPr>
              <w:jc w:val="center"/>
              <w:rPr>
                <w:rFonts w:cs="Calibri"/>
                <w:b/>
                <w:bCs/>
                <w:color w:val="000000"/>
              </w:rPr>
            </w:pPr>
            <w:r w:rsidRPr="00991BB7">
              <w:rPr>
                <w:rFonts w:cs="Calibri"/>
                <w:b/>
                <w:bCs/>
                <w:color w:val="000000"/>
              </w:rPr>
              <w:t>FY 10</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FD42CE" w:rsidRPr="00991BB7" w:rsidRDefault="00FD42CE" w:rsidP="00FD42CE">
            <w:pPr>
              <w:rPr>
                <w:rFonts w:cs="Calibri"/>
                <w:b/>
                <w:bCs/>
                <w:color w:val="000000"/>
              </w:rPr>
            </w:pPr>
          </w:p>
        </w:tc>
        <w:tc>
          <w:tcPr>
            <w:tcW w:w="900" w:type="dxa"/>
            <w:tcBorders>
              <w:top w:val="single" w:sz="4" w:space="0" w:color="auto"/>
              <w:left w:val="nil"/>
              <w:bottom w:val="single" w:sz="4" w:space="0" w:color="auto"/>
              <w:right w:val="single" w:sz="4" w:space="0" w:color="auto"/>
            </w:tcBorders>
            <w:vAlign w:val="bottom"/>
          </w:tcPr>
          <w:p w:rsidR="00FD42CE" w:rsidRPr="00991BB7" w:rsidRDefault="00FD42CE" w:rsidP="00FD42CE">
            <w:pPr>
              <w:jc w:val="center"/>
              <w:rPr>
                <w:rFonts w:cs="Calibri"/>
                <w:b/>
                <w:bCs/>
                <w:color w:val="000000"/>
              </w:rPr>
            </w:pPr>
            <w:r w:rsidRPr="00991BB7">
              <w:rPr>
                <w:rFonts w:cs="Calibri"/>
                <w:b/>
                <w:bCs/>
                <w:color w:val="000000"/>
              </w:rPr>
              <w:t>FY11</w:t>
            </w:r>
          </w:p>
        </w:tc>
        <w:tc>
          <w:tcPr>
            <w:tcW w:w="900" w:type="dxa"/>
            <w:tcBorders>
              <w:top w:val="single" w:sz="4" w:space="0" w:color="auto"/>
              <w:left w:val="nil"/>
              <w:bottom w:val="single" w:sz="4" w:space="0" w:color="auto"/>
              <w:right w:val="single" w:sz="4" w:space="0" w:color="auto"/>
            </w:tcBorders>
            <w:vAlign w:val="bottom"/>
          </w:tcPr>
          <w:p w:rsidR="00FD42CE" w:rsidRPr="00991BB7" w:rsidRDefault="00FD42CE" w:rsidP="00FD42CE">
            <w:pPr>
              <w:jc w:val="center"/>
              <w:rPr>
                <w:rFonts w:cs="Calibri"/>
                <w:b/>
                <w:bCs/>
                <w:color w:val="000000"/>
              </w:rPr>
            </w:pPr>
            <w:r>
              <w:rPr>
                <w:rFonts w:cs="Calibri"/>
                <w:b/>
                <w:bCs/>
                <w:color w:val="000000"/>
              </w:rPr>
              <w:t>FY12</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Articles Requested</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170</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140</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187</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Articles Filled</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117</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96</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137</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Article Fill Rate</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68.82</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68.57</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72.19</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Books Requested</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1,368</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1,120</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1501</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Books Filled</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393</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417</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587</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Book Fill Rate</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28.73</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37.23</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39.11</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Total Requets</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1,538</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1,260</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1688</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Total Filled</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510</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513</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722</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ILL Fill Rate</w:t>
            </w:r>
          </w:p>
        </w:tc>
        <w:tc>
          <w:tcPr>
            <w:tcW w:w="892" w:type="dxa"/>
            <w:tcBorders>
              <w:top w:val="nil"/>
              <w:left w:val="nil"/>
              <w:bottom w:val="single" w:sz="4" w:space="0" w:color="auto"/>
              <w:right w:val="nil"/>
            </w:tcBorders>
            <w:vAlign w:val="bottom"/>
          </w:tcPr>
          <w:p w:rsidR="00FD42CE" w:rsidRPr="00991BB7" w:rsidRDefault="00FD42CE" w:rsidP="00FD42CE">
            <w:pPr>
              <w:jc w:val="right"/>
              <w:rPr>
                <w:rFonts w:cs="Calibri"/>
                <w:color w:val="000000"/>
              </w:rPr>
            </w:pPr>
            <w:r w:rsidRPr="00991BB7">
              <w:rPr>
                <w:rFonts w:cs="Calibri"/>
                <w:color w:val="000000"/>
              </w:rPr>
              <w:t>33.16</w:t>
            </w:r>
          </w:p>
        </w:tc>
        <w:tc>
          <w:tcPr>
            <w:tcW w:w="278"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sidRPr="00991BB7">
              <w:rPr>
                <w:rFonts w:cs="Calibri"/>
                <w:color w:val="000000"/>
              </w:rPr>
              <w:t>40.17</w:t>
            </w:r>
          </w:p>
        </w:tc>
        <w:tc>
          <w:tcPr>
            <w:tcW w:w="900"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42.77</w:t>
            </w:r>
          </w:p>
        </w:tc>
      </w:tr>
    </w:tbl>
    <w:p w:rsidR="008C66A3" w:rsidRPr="008C66A3" w:rsidRDefault="008C66A3" w:rsidP="008C66A3"/>
    <w:p w:rsidR="008C66A3" w:rsidRPr="008C66A3" w:rsidRDefault="008C66A3" w:rsidP="008C66A3"/>
    <w:p w:rsidR="008C66A3" w:rsidRPr="008C66A3" w:rsidRDefault="008C66A3" w:rsidP="008C66A3"/>
    <w:p w:rsidR="008C66A3" w:rsidRPr="008C66A3" w:rsidRDefault="008C66A3" w:rsidP="008C66A3"/>
    <w:p w:rsidR="008C66A3" w:rsidRPr="008C66A3" w:rsidRDefault="008C66A3" w:rsidP="008C66A3"/>
    <w:p w:rsidR="008C66A3" w:rsidRDefault="008C66A3" w:rsidP="008C66A3"/>
    <w:p w:rsidR="00A91753" w:rsidRDefault="008C66A3" w:rsidP="008C66A3">
      <w:pPr>
        <w:tabs>
          <w:tab w:val="left" w:pos="3815"/>
        </w:tabs>
      </w:pPr>
      <w:r>
        <w:tab/>
      </w:r>
    </w:p>
    <w:p w:rsidR="00833EE4" w:rsidRDefault="00833EE4" w:rsidP="008C66A3">
      <w:pPr>
        <w:tabs>
          <w:tab w:val="left" w:pos="3815"/>
        </w:tabs>
      </w:pPr>
    </w:p>
    <w:p w:rsidR="00833EE4" w:rsidRDefault="00833EE4" w:rsidP="008C66A3">
      <w:pPr>
        <w:tabs>
          <w:tab w:val="left" w:pos="3815"/>
        </w:tabs>
      </w:pPr>
    </w:p>
    <w:tbl>
      <w:tblPr>
        <w:tblpPr w:leftFromText="180" w:rightFromText="180" w:vertAnchor="text" w:horzAnchor="margin" w:tblpXSpec="center" w:tblpY="322"/>
        <w:tblW w:w="6226" w:type="dxa"/>
        <w:tblLook w:val="04A0"/>
      </w:tblPr>
      <w:tblGrid>
        <w:gridCol w:w="3348"/>
        <w:gridCol w:w="1170"/>
        <w:gridCol w:w="854"/>
        <w:gridCol w:w="854"/>
      </w:tblGrid>
      <w:tr w:rsidR="00FD42CE" w:rsidRPr="0049620F" w:rsidTr="00FD42CE">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2CE" w:rsidRPr="00991BB7" w:rsidRDefault="00FD42CE" w:rsidP="00FD42CE">
            <w:pPr>
              <w:rPr>
                <w:rFonts w:cs="Calibri"/>
                <w:b/>
                <w:bCs/>
                <w:color w:val="000000"/>
              </w:rPr>
            </w:pPr>
            <w:r w:rsidRPr="00991BB7">
              <w:rPr>
                <w:rFonts w:cs="Calibri"/>
                <w:b/>
                <w:bCs/>
                <w:color w:val="000000"/>
              </w:rPr>
              <w:t>Interlibrary Loan as Borrower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D42CE" w:rsidRPr="00991BB7" w:rsidRDefault="00FD42CE" w:rsidP="00FD42CE">
            <w:pPr>
              <w:jc w:val="center"/>
              <w:rPr>
                <w:rFonts w:cs="Calibri"/>
                <w:b/>
                <w:bCs/>
                <w:color w:val="000000"/>
              </w:rPr>
            </w:pPr>
            <w:r w:rsidRPr="00991BB7">
              <w:rPr>
                <w:rFonts w:cs="Calibri"/>
                <w:b/>
                <w:bCs/>
                <w:color w:val="000000"/>
              </w:rPr>
              <w:t>FY10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FD42CE" w:rsidRPr="00991BB7" w:rsidRDefault="00FD42CE" w:rsidP="00FD42CE">
            <w:pPr>
              <w:jc w:val="center"/>
              <w:rPr>
                <w:rFonts w:cs="Calibri"/>
                <w:b/>
                <w:bCs/>
                <w:color w:val="000000"/>
              </w:rPr>
            </w:pPr>
            <w:r w:rsidRPr="00991BB7">
              <w:rPr>
                <w:rFonts w:cs="Calibri"/>
                <w:b/>
                <w:bCs/>
                <w:color w:val="000000"/>
              </w:rPr>
              <w:t>FY11</w:t>
            </w:r>
          </w:p>
        </w:tc>
        <w:tc>
          <w:tcPr>
            <w:tcW w:w="854" w:type="dxa"/>
            <w:tcBorders>
              <w:top w:val="single" w:sz="4" w:space="0" w:color="auto"/>
              <w:left w:val="nil"/>
              <w:bottom w:val="single" w:sz="4" w:space="0" w:color="auto"/>
              <w:right w:val="single" w:sz="4" w:space="0" w:color="auto"/>
            </w:tcBorders>
            <w:vAlign w:val="bottom"/>
          </w:tcPr>
          <w:p w:rsidR="00FD42CE" w:rsidRPr="00991BB7" w:rsidRDefault="00FD42CE" w:rsidP="00FD42CE">
            <w:pPr>
              <w:jc w:val="center"/>
              <w:rPr>
                <w:rFonts w:cs="Calibri"/>
                <w:b/>
                <w:bCs/>
                <w:color w:val="000000"/>
              </w:rPr>
            </w:pPr>
            <w:r>
              <w:rPr>
                <w:rFonts w:cs="Calibri"/>
                <w:b/>
                <w:bCs/>
                <w:color w:val="000000"/>
              </w:rPr>
              <w:t>FY12</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Articles Requested</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77</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68</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132</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Articles Filled</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59</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59</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76</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Article Fill Rate</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76.62</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86.76</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57.58</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Books Requested</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56</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45</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119</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Books Filled</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37</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31</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82</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Book Fill Rate</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66.07</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68.89</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68.91</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Total Requests</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133</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113</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251</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Total Filled</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96</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90</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158</w:t>
            </w:r>
          </w:p>
        </w:tc>
      </w:tr>
      <w:tr w:rsidR="00FD42CE" w:rsidRPr="0049620F" w:rsidTr="00FD42CE">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FD42CE" w:rsidRPr="003F6C01" w:rsidRDefault="00FD42CE" w:rsidP="00FD42CE">
            <w:pPr>
              <w:rPr>
                <w:rFonts w:cs="Calibri"/>
                <w:b/>
                <w:color w:val="000000"/>
              </w:rPr>
            </w:pPr>
            <w:r w:rsidRPr="003F6C01">
              <w:rPr>
                <w:rFonts w:cs="Calibri"/>
                <w:b/>
                <w:color w:val="000000"/>
              </w:rPr>
              <w:t>ILL Fill Rate</w:t>
            </w:r>
          </w:p>
        </w:tc>
        <w:tc>
          <w:tcPr>
            <w:tcW w:w="1170"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72.18</w:t>
            </w:r>
          </w:p>
        </w:tc>
        <w:tc>
          <w:tcPr>
            <w:tcW w:w="854" w:type="dxa"/>
            <w:tcBorders>
              <w:top w:val="nil"/>
              <w:left w:val="nil"/>
              <w:bottom w:val="single" w:sz="4" w:space="0" w:color="auto"/>
              <w:right w:val="single" w:sz="4" w:space="0" w:color="auto"/>
            </w:tcBorders>
            <w:shd w:val="clear" w:color="auto" w:fill="auto"/>
            <w:noWrap/>
            <w:vAlign w:val="bottom"/>
            <w:hideMark/>
          </w:tcPr>
          <w:p w:rsidR="00FD42CE" w:rsidRPr="00991BB7" w:rsidRDefault="00FD42CE" w:rsidP="00FD42CE">
            <w:pPr>
              <w:jc w:val="right"/>
              <w:rPr>
                <w:rFonts w:cs="Calibri"/>
                <w:color w:val="000000"/>
              </w:rPr>
            </w:pPr>
            <w:r w:rsidRPr="00991BB7">
              <w:rPr>
                <w:rFonts w:cs="Calibri"/>
                <w:color w:val="000000"/>
              </w:rPr>
              <w:t>79.65</w:t>
            </w:r>
          </w:p>
        </w:tc>
        <w:tc>
          <w:tcPr>
            <w:tcW w:w="854" w:type="dxa"/>
            <w:tcBorders>
              <w:top w:val="nil"/>
              <w:left w:val="nil"/>
              <w:bottom w:val="single" w:sz="4" w:space="0" w:color="auto"/>
              <w:right w:val="single" w:sz="4" w:space="0" w:color="auto"/>
            </w:tcBorders>
            <w:vAlign w:val="bottom"/>
          </w:tcPr>
          <w:p w:rsidR="00FD42CE" w:rsidRPr="00991BB7" w:rsidRDefault="00FD42CE" w:rsidP="00FD42CE">
            <w:pPr>
              <w:jc w:val="right"/>
              <w:rPr>
                <w:rFonts w:cs="Calibri"/>
                <w:color w:val="000000"/>
              </w:rPr>
            </w:pPr>
            <w:r>
              <w:rPr>
                <w:rFonts w:cs="Calibri"/>
                <w:color w:val="000000"/>
              </w:rPr>
              <w:t>62.93</w:t>
            </w:r>
          </w:p>
        </w:tc>
      </w:tr>
    </w:tbl>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p w:rsidR="00833EE4" w:rsidRDefault="00833EE4" w:rsidP="008C66A3">
      <w:pPr>
        <w:tabs>
          <w:tab w:val="left" w:pos="3815"/>
        </w:tabs>
      </w:pPr>
    </w:p>
    <w:tbl>
      <w:tblPr>
        <w:tblpPr w:leftFromText="180" w:rightFromText="180" w:vertAnchor="text" w:horzAnchor="margin" w:tblpXSpec="center" w:tblpY="2007"/>
        <w:tblOverlap w:val="never"/>
        <w:tblW w:w="4017" w:type="dxa"/>
        <w:tblLook w:val="04A0"/>
      </w:tblPr>
      <w:tblGrid>
        <w:gridCol w:w="1728"/>
        <w:gridCol w:w="763"/>
        <w:gridCol w:w="763"/>
        <w:gridCol w:w="763"/>
      </w:tblGrid>
      <w:tr w:rsidR="00FD42CE" w:rsidRPr="0049620F" w:rsidTr="00FD42CE">
        <w:trPr>
          <w:trHeight w:val="272"/>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2CE" w:rsidRPr="00E070B5" w:rsidRDefault="00FD42CE" w:rsidP="00FD42CE">
            <w:pPr>
              <w:rPr>
                <w:rFonts w:cs="Calibri"/>
                <w:b/>
                <w:bCs/>
                <w:color w:val="000000"/>
              </w:rPr>
            </w:pPr>
            <w:r w:rsidRPr="00E070B5">
              <w:rPr>
                <w:rFonts w:cs="Calibri"/>
                <w:b/>
                <w:bCs/>
                <w:color w:val="000000"/>
              </w:rPr>
              <w:t>GIL Express</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D42CE" w:rsidRPr="00E070B5" w:rsidRDefault="00FD42CE" w:rsidP="00FD42CE">
            <w:pPr>
              <w:jc w:val="center"/>
              <w:rPr>
                <w:rFonts w:cs="Calibri"/>
                <w:b/>
                <w:bCs/>
                <w:color w:val="000000"/>
              </w:rPr>
            </w:pPr>
            <w:r w:rsidRPr="00E070B5">
              <w:rPr>
                <w:rFonts w:cs="Calibri"/>
                <w:b/>
                <w:bCs/>
                <w:color w:val="000000"/>
              </w:rPr>
              <w:t>FY10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D42CE" w:rsidRPr="00E070B5" w:rsidRDefault="00FD42CE" w:rsidP="00FD42CE">
            <w:pPr>
              <w:jc w:val="center"/>
              <w:rPr>
                <w:rFonts w:cs="Calibri"/>
                <w:b/>
                <w:bCs/>
                <w:color w:val="000000"/>
              </w:rPr>
            </w:pPr>
            <w:r w:rsidRPr="00E070B5">
              <w:rPr>
                <w:rFonts w:cs="Calibri"/>
                <w:b/>
                <w:bCs/>
                <w:color w:val="000000"/>
              </w:rPr>
              <w:t>FY11</w:t>
            </w:r>
          </w:p>
        </w:tc>
        <w:tc>
          <w:tcPr>
            <w:tcW w:w="763" w:type="dxa"/>
            <w:tcBorders>
              <w:top w:val="single" w:sz="4" w:space="0" w:color="auto"/>
              <w:left w:val="nil"/>
              <w:bottom w:val="single" w:sz="4" w:space="0" w:color="auto"/>
              <w:right w:val="single" w:sz="4" w:space="0" w:color="auto"/>
            </w:tcBorders>
          </w:tcPr>
          <w:p w:rsidR="00FD42CE" w:rsidRPr="00E070B5" w:rsidRDefault="00FD42CE" w:rsidP="00FD42CE">
            <w:pPr>
              <w:rPr>
                <w:rFonts w:cs="Calibri"/>
                <w:b/>
                <w:bCs/>
                <w:color w:val="000000"/>
              </w:rPr>
            </w:pPr>
            <w:r>
              <w:rPr>
                <w:rFonts w:cs="Calibri"/>
                <w:b/>
                <w:bCs/>
                <w:color w:val="000000"/>
              </w:rPr>
              <w:t>FY12</w:t>
            </w:r>
          </w:p>
        </w:tc>
      </w:tr>
      <w:tr w:rsidR="00FD42CE" w:rsidRPr="0049620F" w:rsidTr="00FD42CE">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D42CE" w:rsidRPr="00D76F62" w:rsidRDefault="00FD42CE" w:rsidP="00FD42CE">
            <w:pPr>
              <w:rPr>
                <w:rFonts w:cs="Calibri"/>
                <w:b/>
                <w:bCs/>
                <w:color w:val="000000"/>
              </w:rPr>
            </w:pPr>
            <w:r w:rsidRPr="00D76F62">
              <w:rPr>
                <w:rFonts w:cs="Calibri"/>
                <w:b/>
                <w:bCs/>
                <w:color w:val="000000"/>
              </w:rPr>
              <w:t>Outgoing</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070B5" w:rsidRDefault="00FD42CE" w:rsidP="00FD42CE">
            <w:pPr>
              <w:jc w:val="right"/>
              <w:rPr>
                <w:rFonts w:cs="Calibri"/>
                <w:color w:val="000000"/>
              </w:rPr>
            </w:pPr>
            <w:r w:rsidRPr="00E070B5">
              <w:rPr>
                <w:rFonts w:cs="Calibri"/>
                <w:color w:val="000000"/>
              </w:rPr>
              <w:t>1,522</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070B5" w:rsidRDefault="00FD42CE" w:rsidP="00FD42CE">
            <w:pPr>
              <w:jc w:val="right"/>
              <w:rPr>
                <w:rFonts w:cs="Calibri"/>
                <w:color w:val="000000"/>
              </w:rPr>
            </w:pPr>
            <w:r w:rsidRPr="00E070B5">
              <w:rPr>
                <w:rFonts w:cs="Calibri"/>
                <w:color w:val="000000"/>
              </w:rPr>
              <w:t>2,118</w:t>
            </w:r>
          </w:p>
        </w:tc>
        <w:tc>
          <w:tcPr>
            <w:tcW w:w="763" w:type="dxa"/>
            <w:tcBorders>
              <w:top w:val="nil"/>
              <w:left w:val="nil"/>
              <w:bottom w:val="single" w:sz="4" w:space="0" w:color="auto"/>
              <w:right w:val="single" w:sz="4" w:space="0" w:color="auto"/>
            </w:tcBorders>
            <w:vAlign w:val="bottom"/>
          </w:tcPr>
          <w:p w:rsidR="00FD42CE" w:rsidRPr="00E070B5" w:rsidRDefault="00FD42CE" w:rsidP="00FD42CE">
            <w:pPr>
              <w:jc w:val="right"/>
              <w:rPr>
                <w:rFonts w:cs="Calibri"/>
                <w:color w:val="000000"/>
              </w:rPr>
            </w:pPr>
            <w:r>
              <w:rPr>
                <w:rFonts w:cs="Calibri"/>
                <w:color w:val="000000"/>
              </w:rPr>
              <w:t>1754</w:t>
            </w:r>
          </w:p>
        </w:tc>
      </w:tr>
      <w:tr w:rsidR="00FD42CE" w:rsidRPr="0049620F" w:rsidTr="00FD42CE">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D42CE" w:rsidRPr="00D76F62" w:rsidRDefault="00FD42CE" w:rsidP="00FD42CE">
            <w:pPr>
              <w:rPr>
                <w:rFonts w:cs="Calibri"/>
                <w:b/>
                <w:bCs/>
                <w:color w:val="000000"/>
              </w:rPr>
            </w:pPr>
            <w:r w:rsidRPr="00D76F62">
              <w:rPr>
                <w:rFonts w:cs="Calibri"/>
                <w:b/>
                <w:bCs/>
                <w:color w:val="000000"/>
              </w:rPr>
              <w:t>Incoming</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070B5" w:rsidRDefault="00FD42CE" w:rsidP="00FD42CE">
            <w:pPr>
              <w:jc w:val="right"/>
              <w:rPr>
                <w:rFonts w:cs="Calibri"/>
                <w:color w:val="000000"/>
              </w:rPr>
            </w:pPr>
            <w:r w:rsidRPr="00E070B5">
              <w:rPr>
                <w:rFonts w:cs="Calibri"/>
                <w:color w:val="000000"/>
              </w:rPr>
              <w:t>1,190</w:t>
            </w:r>
          </w:p>
        </w:tc>
        <w:tc>
          <w:tcPr>
            <w:tcW w:w="763" w:type="dxa"/>
            <w:tcBorders>
              <w:top w:val="nil"/>
              <w:left w:val="nil"/>
              <w:bottom w:val="single" w:sz="4" w:space="0" w:color="auto"/>
              <w:right w:val="single" w:sz="4" w:space="0" w:color="auto"/>
            </w:tcBorders>
            <w:shd w:val="clear" w:color="auto" w:fill="auto"/>
            <w:noWrap/>
            <w:vAlign w:val="bottom"/>
            <w:hideMark/>
          </w:tcPr>
          <w:p w:rsidR="00FD42CE" w:rsidRPr="00E070B5" w:rsidRDefault="00FD42CE" w:rsidP="00FD42CE">
            <w:pPr>
              <w:jc w:val="right"/>
              <w:rPr>
                <w:rFonts w:cs="Calibri"/>
                <w:color w:val="000000"/>
              </w:rPr>
            </w:pPr>
            <w:r w:rsidRPr="00E070B5">
              <w:rPr>
                <w:rFonts w:cs="Calibri"/>
                <w:color w:val="000000"/>
              </w:rPr>
              <w:t>1,446</w:t>
            </w:r>
          </w:p>
        </w:tc>
        <w:tc>
          <w:tcPr>
            <w:tcW w:w="763" w:type="dxa"/>
            <w:tcBorders>
              <w:top w:val="nil"/>
              <w:left w:val="nil"/>
              <w:bottom w:val="single" w:sz="4" w:space="0" w:color="auto"/>
              <w:right w:val="single" w:sz="4" w:space="0" w:color="auto"/>
            </w:tcBorders>
            <w:vAlign w:val="bottom"/>
          </w:tcPr>
          <w:p w:rsidR="00FD42CE" w:rsidRPr="00E070B5" w:rsidRDefault="00FD42CE" w:rsidP="00FD42CE">
            <w:pPr>
              <w:jc w:val="right"/>
              <w:rPr>
                <w:rFonts w:cs="Calibri"/>
                <w:color w:val="000000"/>
              </w:rPr>
            </w:pPr>
            <w:r>
              <w:rPr>
                <w:rFonts w:cs="Calibri"/>
                <w:color w:val="000000"/>
              </w:rPr>
              <w:t>2138</w:t>
            </w:r>
          </w:p>
        </w:tc>
      </w:tr>
    </w:tbl>
    <w:p w:rsidR="00833EE4" w:rsidRPr="00833EE4" w:rsidRDefault="00833EE4" w:rsidP="00833EE4"/>
    <w:p w:rsidR="00833EE4" w:rsidRDefault="00833EE4" w:rsidP="00833EE4"/>
    <w:p w:rsidR="00833EE4" w:rsidRDefault="00833EE4" w:rsidP="00833EE4"/>
    <w:p w:rsidR="00FD42CE" w:rsidRDefault="00FD42CE" w:rsidP="00833EE4"/>
    <w:p w:rsidR="00FD42CE" w:rsidRDefault="00FD42CE" w:rsidP="00833EE4"/>
    <w:p w:rsidR="00FD42CE" w:rsidRDefault="00FD42CE" w:rsidP="00833EE4"/>
    <w:p w:rsidR="00FD42CE" w:rsidRDefault="00FD42CE" w:rsidP="00833EE4"/>
    <w:tbl>
      <w:tblPr>
        <w:tblpPr w:leftFromText="180" w:rightFromText="180" w:vertAnchor="text" w:horzAnchor="margin" w:tblpY="-822"/>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1540"/>
        <w:gridCol w:w="1540"/>
        <w:gridCol w:w="1540"/>
        <w:gridCol w:w="1540"/>
      </w:tblGrid>
      <w:tr w:rsidR="00CF52FC" w:rsidRPr="001A5AB8" w:rsidTr="00CF52FC">
        <w:trPr>
          <w:trHeight w:val="600"/>
        </w:trPr>
        <w:tc>
          <w:tcPr>
            <w:tcW w:w="2540" w:type="dxa"/>
            <w:shd w:val="clear" w:color="auto" w:fill="auto"/>
            <w:vAlign w:val="bottom"/>
          </w:tcPr>
          <w:p w:rsidR="00CF52FC" w:rsidRPr="001A5AB8" w:rsidRDefault="00CF52FC" w:rsidP="00CF52FC">
            <w:pPr>
              <w:spacing w:after="0" w:line="240" w:lineRule="auto"/>
              <w:rPr>
                <w:rFonts w:eastAsia="Times New Roman" w:cs="Calibri"/>
                <w:b/>
                <w:bCs/>
                <w:color w:val="000000"/>
              </w:rPr>
            </w:pPr>
            <w:r w:rsidRPr="001A5AB8">
              <w:rPr>
                <w:rFonts w:eastAsia="Times New Roman" w:cs="Calibri"/>
                <w:b/>
                <w:bCs/>
                <w:color w:val="000000"/>
              </w:rPr>
              <w:t>Collection</w:t>
            </w:r>
          </w:p>
        </w:tc>
        <w:tc>
          <w:tcPr>
            <w:tcW w:w="1540" w:type="dxa"/>
            <w:shd w:val="clear" w:color="auto" w:fill="auto"/>
            <w:vAlign w:val="bottom"/>
          </w:tcPr>
          <w:p w:rsidR="00CF52FC" w:rsidRPr="001A5AB8" w:rsidRDefault="00CF52FC" w:rsidP="00CF52FC">
            <w:pPr>
              <w:spacing w:after="0" w:line="240" w:lineRule="auto"/>
              <w:jc w:val="right"/>
              <w:rPr>
                <w:rFonts w:eastAsia="Times New Roman" w:cs="Calibri"/>
                <w:b/>
                <w:bCs/>
                <w:color w:val="000000"/>
              </w:rPr>
            </w:pPr>
            <w:r w:rsidRPr="001A5AB8">
              <w:rPr>
                <w:rFonts w:eastAsia="Times New Roman" w:cs="Calibri"/>
                <w:b/>
                <w:bCs/>
                <w:color w:val="000000"/>
              </w:rPr>
              <w:t>Held at end of FY 2009</w:t>
            </w:r>
          </w:p>
        </w:tc>
        <w:tc>
          <w:tcPr>
            <w:tcW w:w="1540" w:type="dxa"/>
            <w:shd w:val="clear" w:color="auto" w:fill="auto"/>
            <w:vAlign w:val="bottom"/>
          </w:tcPr>
          <w:p w:rsidR="00CF52FC" w:rsidRPr="001A5AB8" w:rsidRDefault="00CF52FC" w:rsidP="00CF52FC">
            <w:pPr>
              <w:spacing w:after="0" w:line="240" w:lineRule="auto"/>
              <w:jc w:val="right"/>
              <w:rPr>
                <w:rFonts w:eastAsia="Times New Roman" w:cs="Calibri"/>
                <w:b/>
                <w:bCs/>
                <w:color w:val="000000"/>
              </w:rPr>
            </w:pPr>
            <w:r w:rsidRPr="001A5AB8">
              <w:rPr>
                <w:rFonts w:eastAsia="Times New Roman" w:cs="Calibri"/>
                <w:b/>
                <w:bCs/>
                <w:color w:val="000000"/>
              </w:rPr>
              <w:t>Held at end of FY 2010</w:t>
            </w:r>
          </w:p>
        </w:tc>
        <w:tc>
          <w:tcPr>
            <w:tcW w:w="1540" w:type="dxa"/>
            <w:shd w:val="clear" w:color="auto" w:fill="auto"/>
            <w:vAlign w:val="bottom"/>
          </w:tcPr>
          <w:p w:rsidR="00CF52FC" w:rsidRPr="001A5AB8" w:rsidRDefault="00CF52FC" w:rsidP="00CF52FC">
            <w:pPr>
              <w:spacing w:after="0" w:line="240" w:lineRule="auto"/>
              <w:jc w:val="right"/>
              <w:rPr>
                <w:rFonts w:eastAsia="Times New Roman" w:cs="Calibri"/>
                <w:b/>
                <w:bCs/>
                <w:color w:val="000000"/>
              </w:rPr>
            </w:pPr>
            <w:r w:rsidRPr="001A5AB8">
              <w:rPr>
                <w:rFonts w:eastAsia="Times New Roman" w:cs="Calibri"/>
                <w:b/>
                <w:bCs/>
                <w:color w:val="000000"/>
              </w:rPr>
              <w:t>Held at end of FY 2011</w:t>
            </w:r>
          </w:p>
        </w:tc>
        <w:tc>
          <w:tcPr>
            <w:tcW w:w="1540" w:type="dxa"/>
            <w:shd w:val="clear" w:color="auto" w:fill="auto"/>
            <w:vAlign w:val="bottom"/>
          </w:tcPr>
          <w:p w:rsidR="00CF52FC" w:rsidRPr="001A5AB8" w:rsidRDefault="00CF52FC" w:rsidP="00CF52FC">
            <w:pPr>
              <w:spacing w:after="0" w:line="240" w:lineRule="auto"/>
              <w:jc w:val="right"/>
              <w:rPr>
                <w:rFonts w:eastAsia="Times New Roman" w:cs="Calibri"/>
                <w:b/>
                <w:bCs/>
                <w:color w:val="000000"/>
              </w:rPr>
            </w:pPr>
            <w:r w:rsidRPr="001A5AB8">
              <w:rPr>
                <w:rFonts w:eastAsia="Times New Roman" w:cs="Calibri"/>
                <w:b/>
                <w:bCs/>
                <w:color w:val="000000"/>
              </w:rPr>
              <w:t>Held at end of FY 2012</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Total Volumes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32516</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53544</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100079</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134772</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Print Volumes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32516</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53544</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57711</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61544</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Electronic Book Vols.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NA</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NA</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42368</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73228</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Total Serial Subscriptions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389</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268</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263</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270</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Print Serial Subs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316</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199</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181</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165</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Electronic Serial subs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73</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69</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82</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105</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Electronic database subs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42</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57</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80</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110</w:t>
            </w:r>
          </w:p>
        </w:tc>
      </w:tr>
      <w:tr w:rsidR="00CF52FC" w:rsidRPr="001A5AB8" w:rsidTr="00CF52FC">
        <w:trPr>
          <w:trHeight w:val="300"/>
        </w:trPr>
        <w:tc>
          <w:tcPr>
            <w:tcW w:w="2540" w:type="dxa"/>
            <w:shd w:val="clear" w:color="auto" w:fill="auto"/>
            <w:noWrap/>
            <w:vAlign w:val="bottom"/>
          </w:tcPr>
          <w:p w:rsidR="00CF52FC" w:rsidRPr="001A5AB8" w:rsidRDefault="00CF52FC" w:rsidP="00CF52FC">
            <w:pPr>
              <w:spacing w:after="0" w:line="240" w:lineRule="auto"/>
              <w:rPr>
                <w:rFonts w:eastAsia="Times New Roman" w:cs="Calibri"/>
                <w:color w:val="000000"/>
              </w:rPr>
            </w:pPr>
            <w:r w:rsidRPr="001A5AB8">
              <w:rPr>
                <w:rFonts w:eastAsia="Times New Roman" w:cs="Calibri"/>
                <w:color w:val="000000"/>
              </w:rPr>
              <w:t>DVD/Video titles</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849</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1432</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2277</w:t>
            </w:r>
          </w:p>
        </w:tc>
        <w:tc>
          <w:tcPr>
            <w:tcW w:w="1540" w:type="dxa"/>
            <w:shd w:val="clear" w:color="auto" w:fill="auto"/>
            <w:noWrap/>
            <w:vAlign w:val="bottom"/>
          </w:tcPr>
          <w:p w:rsidR="00CF52FC" w:rsidRPr="001A5AB8" w:rsidRDefault="00CF52FC" w:rsidP="00CF52FC">
            <w:pPr>
              <w:spacing w:after="0" w:line="240" w:lineRule="auto"/>
              <w:jc w:val="right"/>
              <w:rPr>
                <w:rFonts w:eastAsia="Times New Roman" w:cs="Calibri"/>
                <w:color w:val="000000"/>
              </w:rPr>
            </w:pPr>
            <w:r w:rsidRPr="001A5AB8">
              <w:rPr>
                <w:rFonts w:eastAsia="Times New Roman" w:cs="Calibri"/>
                <w:color w:val="000000"/>
              </w:rPr>
              <w:t>2595</w:t>
            </w:r>
          </w:p>
        </w:tc>
      </w:tr>
    </w:tbl>
    <w:p w:rsidR="00FD42CE" w:rsidRDefault="00FD42CE" w:rsidP="00833EE4"/>
    <w:p w:rsidR="00FD42CE" w:rsidRDefault="00FD42CE" w:rsidP="00833EE4"/>
    <w:p w:rsidR="00FD42CE" w:rsidRDefault="00FD42CE" w:rsidP="00833EE4"/>
    <w:p w:rsidR="00FD42CE" w:rsidRDefault="00FD42CE" w:rsidP="00833EE4"/>
    <w:p w:rsidR="00FD42CE" w:rsidRDefault="00FD42CE" w:rsidP="00833EE4"/>
    <w:p w:rsidR="00FD42CE" w:rsidRDefault="00FD42CE" w:rsidP="00833EE4"/>
    <w:tbl>
      <w:tblPr>
        <w:tblpPr w:leftFromText="180" w:rightFromText="180" w:vertAnchor="text" w:horzAnchor="margin" w:tblpXSpec="center" w:tblpY="312"/>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990"/>
        <w:gridCol w:w="1260"/>
      </w:tblGrid>
      <w:tr w:rsidR="00FD42CE" w:rsidRPr="004C5BE2" w:rsidTr="00FD42CE">
        <w:trPr>
          <w:trHeight w:val="302"/>
        </w:trPr>
        <w:tc>
          <w:tcPr>
            <w:tcW w:w="2898" w:type="dxa"/>
            <w:shd w:val="clear" w:color="auto" w:fill="auto"/>
          </w:tcPr>
          <w:p w:rsidR="00FD42CE" w:rsidRPr="0098093F" w:rsidRDefault="00FD42CE" w:rsidP="00FD42CE">
            <w:pPr>
              <w:spacing w:before="100" w:beforeAutospacing="1" w:after="100" w:afterAutospacing="1" w:line="192" w:lineRule="atLeast"/>
              <w:rPr>
                <w:rFonts w:cs="Calibri"/>
                <w:b/>
                <w:bCs/>
              </w:rPr>
            </w:pP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center"/>
              <w:rPr>
                <w:rFonts w:cs="Calibri"/>
                <w:b/>
                <w:bCs/>
              </w:rPr>
            </w:pPr>
            <w:r>
              <w:rPr>
                <w:rFonts w:cs="Calibri"/>
                <w:b/>
                <w:bCs/>
              </w:rPr>
              <w:t>FY11</w:t>
            </w:r>
          </w:p>
        </w:tc>
        <w:tc>
          <w:tcPr>
            <w:tcW w:w="1260" w:type="dxa"/>
            <w:vAlign w:val="bottom"/>
          </w:tcPr>
          <w:p w:rsidR="00FD42CE" w:rsidRDefault="00FD42CE" w:rsidP="00FD42CE">
            <w:pPr>
              <w:spacing w:before="100" w:beforeAutospacing="1" w:after="100" w:afterAutospacing="1" w:line="192" w:lineRule="atLeast"/>
              <w:jc w:val="center"/>
              <w:rPr>
                <w:rFonts w:cs="Calibri"/>
                <w:b/>
                <w:bCs/>
              </w:rPr>
            </w:pPr>
            <w:r>
              <w:rPr>
                <w:rFonts w:cs="Calibri"/>
                <w:b/>
                <w:bCs/>
              </w:rPr>
              <w:t>FY12</w:t>
            </w:r>
          </w:p>
        </w:tc>
      </w:tr>
      <w:tr w:rsidR="00FD42CE" w:rsidRPr="004C5BE2" w:rsidTr="00FD42CE">
        <w:trPr>
          <w:trHeight w:val="302"/>
        </w:trPr>
        <w:tc>
          <w:tcPr>
            <w:tcW w:w="2898" w:type="dxa"/>
            <w:shd w:val="clear" w:color="auto" w:fill="auto"/>
          </w:tcPr>
          <w:p w:rsidR="00FD42CE" w:rsidRPr="000B1F8E" w:rsidRDefault="00FD42CE" w:rsidP="00FD42CE">
            <w:pPr>
              <w:spacing w:before="100" w:beforeAutospacing="1" w:after="100" w:afterAutospacing="1" w:line="192" w:lineRule="atLeast"/>
              <w:rPr>
                <w:rFonts w:cs="Calibri"/>
                <w:b/>
                <w:bCs/>
                <w:i/>
              </w:rPr>
            </w:pPr>
            <w:r w:rsidRPr="000B1F8E">
              <w:rPr>
                <w:rFonts w:cs="Calibri"/>
                <w:b/>
                <w:bCs/>
                <w:i/>
              </w:rPr>
              <w:t xml:space="preserve">Reference Questions </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5759</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5262</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sz w:val="20"/>
                <w:szCs w:val="20"/>
              </w:rPr>
            </w:pPr>
            <w:r w:rsidRPr="0098093F">
              <w:rPr>
                <w:rFonts w:cs="Calibri"/>
                <w:sz w:val="20"/>
                <w:szCs w:val="20"/>
              </w:rPr>
              <w:t xml:space="preserve">   </w:t>
            </w:r>
            <w:r w:rsidRPr="00A44916">
              <w:rPr>
                <w:rFonts w:cs="Calibri"/>
                <w:b/>
                <w:sz w:val="20"/>
                <w:szCs w:val="20"/>
              </w:rPr>
              <w:t>Via Walkup</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sz w:val="20"/>
                <w:szCs w:val="20"/>
              </w:rPr>
            </w:pPr>
            <w:r w:rsidRPr="0098093F">
              <w:rPr>
                <w:rFonts w:cs="Calibri"/>
                <w:bCs/>
                <w:sz w:val="20"/>
                <w:szCs w:val="20"/>
              </w:rPr>
              <w:t>5467</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sz w:val="20"/>
                <w:szCs w:val="20"/>
              </w:rPr>
            </w:pPr>
            <w:r>
              <w:rPr>
                <w:rFonts w:cs="Calibri"/>
                <w:bCs/>
                <w:sz w:val="20"/>
                <w:szCs w:val="20"/>
              </w:rPr>
              <w:t>4888</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sz w:val="20"/>
                <w:szCs w:val="20"/>
              </w:rPr>
            </w:pPr>
            <w:r w:rsidRPr="00A44916">
              <w:rPr>
                <w:rFonts w:cs="Calibri"/>
                <w:b/>
                <w:sz w:val="20"/>
                <w:szCs w:val="20"/>
              </w:rPr>
              <w:t xml:space="preserve">   Via Phone/Email/Chat</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sz w:val="20"/>
                <w:szCs w:val="20"/>
              </w:rPr>
            </w:pPr>
            <w:r w:rsidRPr="0098093F">
              <w:rPr>
                <w:rFonts w:cs="Calibri"/>
                <w:bCs/>
                <w:sz w:val="20"/>
                <w:szCs w:val="20"/>
              </w:rPr>
              <w:t>292</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sz w:val="20"/>
                <w:szCs w:val="20"/>
              </w:rPr>
            </w:pPr>
            <w:r>
              <w:rPr>
                <w:rFonts w:cs="Calibri"/>
                <w:bCs/>
                <w:sz w:val="20"/>
                <w:szCs w:val="20"/>
              </w:rPr>
              <w:t>365</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rPr>
            </w:pPr>
            <w:r w:rsidRPr="00A44916">
              <w:rPr>
                <w:rFonts w:cs="Calibri"/>
                <w:b/>
                <w:sz w:val="20"/>
                <w:szCs w:val="20"/>
              </w:rPr>
              <w:t xml:space="preserve">   Via Research Consultation</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p>
        </w:tc>
        <w:tc>
          <w:tcPr>
            <w:tcW w:w="1260" w:type="dxa"/>
            <w:vAlign w:val="bottom"/>
          </w:tcPr>
          <w:p w:rsidR="00FD42CE" w:rsidRPr="00F402D9" w:rsidRDefault="00FD42CE" w:rsidP="00FD42CE">
            <w:pPr>
              <w:spacing w:before="100" w:beforeAutospacing="1" w:after="100" w:afterAutospacing="1" w:line="192" w:lineRule="atLeast"/>
              <w:jc w:val="right"/>
              <w:rPr>
                <w:rFonts w:cs="Calibri"/>
                <w:bCs/>
                <w:sz w:val="20"/>
                <w:szCs w:val="20"/>
              </w:rPr>
            </w:pPr>
            <w:r w:rsidRPr="00F402D9">
              <w:rPr>
                <w:rFonts w:cs="Calibri"/>
                <w:bCs/>
                <w:sz w:val="20"/>
                <w:szCs w:val="20"/>
              </w:rPr>
              <w:t>9</w:t>
            </w:r>
          </w:p>
        </w:tc>
      </w:tr>
      <w:tr w:rsidR="00FD42CE" w:rsidRPr="004C5BE2" w:rsidTr="00FD42CE">
        <w:trPr>
          <w:trHeight w:val="302"/>
        </w:trPr>
        <w:tc>
          <w:tcPr>
            <w:tcW w:w="2898" w:type="dxa"/>
            <w:shd w:val="clear" w:color="auto" w:fill="auto"/>
          </w:tcPr>
          <w:p w:rsidR="00FD42CE" w:rsidRDefault="00FD42CE" w:rsidP="00FD42CE">
            <w:pPr>
              <w:spacing w:before="100" w:beforeAutospacing="1" w:after="100" w:afterAutospacing="1" w:line="192" w:lineRule="atLeast"/>
              <w:rPr>
                <w:rFonts w:cs="Calibri"/>
                <w:b/>
                <w:bCs/>
              </w:rPr>
            </w:pP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p>
        </w:tc>
        <w:tc>
          <w:tcPr>
            <w:tcW w:w="1260" w:type="dxa"/>
            <w:vAlign w:val="bottom"/>
          </w:tcPr>
          <w:p w:rsidR="00FD42CE" w:rsidRDefault="00FD42CE" w:rsidP="00FD42CE">
            <w:pPr>
              <w:spacing w:before="100" w:beforeAutospacing="1" w:after="100" w:afterAutospacing="1" w:line="192" w:lineRule="atLeast"/>
              <w:jc w:val="right"/>
              <w:rPr>
                <w:rFonts w:cs="Calibri"/>
                <w:bCs/>
              </w:rPr>
            </w:pPr>
          </w:p>
        </w:tc>
      </w:tr>
      <w:tr w:rsidR="00FD42CE" w:rsidRPr="004C5BE2" w:rsidTr="00FD42CE">
        <w:trPr>
          <w:trHeight w:val="302"/>
        </w:trPr>
        <w:tc>
          <w:tcPr>
            <w:tcW w:w="2898" w:type="dxa"/>
            <w:shd w:val="clear" w:color="auto" w:fill="auto"/>
          </w:tcPr>
          <w:p w:rsidR="00FD42CE" w:rsidRPr="000B1F8E" w:rsidRDefault="00FD42CE" w:rsidP="00FD42CE">
            <w:pPr>
              <w:spacing w:before="100" w:beforeAutospacing="1" w:after="100" w:afterAutospacing="1" w:line="192" w:lineRule="atLeast"/>
              <w:rPr>
                <w:rFonts w:cs="Calibri"/>
                <w:b/>
                <w:bCs/>
                <w:i/>
              </w:rPr>
            </w:pPr>
            <w:r w:rsidRPr="000B1F8E">
              <w:rPr>
                <w:rFonts w:cs="Calibri"/>
                <w:b/>
                <w:bCs/>
                <w:i/>
              </w:rPr>
              <w:t>Reference Questions by Type</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p>
        </w:tc>
        <w:tc>
          <w:tcPr>
            <w:tcW w:w="1260" w:type="dxa"/>
            <w:vAlign w:val="bottom"/>
          </w:tcPr>
          <w:p w:rsidR="00FD42CE" w:rsidRDefault="00FD42CE" w:rsidP="00FD42CE">
            <w:pPr>
              <w:spacing w:before="100" w:beforeAutospacing="1" w:after="100" w:afterAutospacing="1" w:line="192" w:lineRule="atLeast"/>
              <w:jc w:val="right"/>
              <w:rPr>
                <w:rFonts w:cs="Calibri"/>
                <w:bCs/>
              </w:rPr>
            </w:pP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sz w:val="20"/>
                <w:szCs w:val="20"/>
              </w:rPr>
            </w:pPr>
            <w:r w:rsidRPr="00A44916">
              <w:rPr>
                <w:rFonts w:cs="Calibri"/>
                <w:b/>
                <w:bCs/>
                <w:sz w:val="20"/>
                <w:szCs w:val="20"/>
              </w:rPr>
              <w:t>Catalog Lookup</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750</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743</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sz w:val="20"/>
                <w:szCs w:val="20"/>
              </w:rPr>
            </w:pPr>
            <w:r w:rsidRPr="00A44916">
              <w:rPr>
                <w:rFonts w:cs="Calibri"/>
                <w:b/>
                <w:bCs/>
                <w:sz w:val="20"/>
                <w:szCs w:val="20"/>
              </w:rPr>
              <w:t>Computer/Software Questions</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380</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415</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sz w:val="20"/>
                <w:szCs w:val="20"/>
              </w:rPr>
            </w:pPr>
            <w:r w:rsidRPr="00A44916">
              <w:rPr>
                <w:rFonts w:cs="Calibri"/>
                <w:b/>
                <w:bCs/>
                <w:sz w:val="20"/>
                <w:szCs w:val="20"/>
              </w:rPr>
              <w:t>Directional</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767</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335</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sz w:val="20"/>
                <w:szCs w:val="20"/>
              </w:rPr>
            </w:pPr>
            <w:r w:rsidRPr="00A44916">
              <w:rPr>
                <w:rFonts w:cs="Calibri"/>
                <w:b/>
                <w:bCs/>
                <w:sz w:val="20"/>
                <w:szCs w:val="20"/>
              </w:rPr>
              <w:t>Other</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609</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461</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rPr>
            </w:pPr>
            <w:r w:rsidRPr="00A44916">
              <w:rPr>
                <w:rFonts w:cs="Calibri"/>
                <w:b/>
                <w:bCs/>
              </w:rPr>
              <w:t>In-Depth Reference</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1527</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1416</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rPr>
            </w:pPr>
            <w:r w:rsidRPr="00A44916">
              <w:rPr>
                <w:rFonts w:cs="Calibri"/>
                <w:b/>
                <w:bCs/>
              </w:rPr>
              <w:t>Quick Reference</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1439</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1617</w:t>
            </w:r>
          </w:p>
        </w:tc>
      </w:tr>
      <w:tr w:rsidR="00FD42CE" w:rsidRPr="004C5BE2" w:rsidTr="00FD42CE">
        <w:trPr>
          <w:trHeight w:val="302"/>
        </w:trPr>
        <w:tc>
          <w:tcPr>
            <w:tcW w:w="2898" w:type="dxa"/>
            <w:shd w:val="clear" w:color="auto" w:fill="auto"/>
          </w:tcPr>
          <w:p w:rsidR="00FD42CE" w:rsidRPr="00A44916" w:rsidRDefault="00FD42CE" w:rsidP="00FD42CE">
            <w:pPr>
              <w:spacing w:before="100" w:beforeAutospacing="1" w:after="100" w:afterAutospacing="1" w:line="192" w:lineRule="atLeast"/>
              <w:rPr>
                <w:rFonts w:cs="Calibri"/>
                <w:b/>
                <w:bCs/>
              </w:rPr>
            </w:pPr>
            <w:r w:rsidRPr="00A44916">
              <w:rPr>
                <w:rFonts w:cs="Calibri"/>
                <w:b/>
                <w:bCs/>
              </w:rPr>
              <w:t>Textbook Questions</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287</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275</w:t>
            </w:r>
          </w:p>
        </w:tc>
      </w:tr>
      <w:tr w:rsidR="00FD42CE" w:rsidRPr="004C5BE2" w:rsidTr="00FD42CE">
        <w:trPr>
          <w:trHeight w:val="302"/>
        </w:trPr>
        <w:tc>
          <w:tcPr>
            <w:tcW w:w="2898" w:type="dxa"/>
            <w:shd w:val="clear" w:color="auto" w:fill="auto"/>
          </w:tcPr>
          <w:p w:rsidR="00FD42CE" w:rsidRPr="0098093F" w:rsidRDefault="00FD42CE" w:rsidP="00FD42CE">
            <w:pPr>
              <w:spacing w:before="100" w:beforeAutospacing="1" w:after="100" w:afterAutospacing="1" w:line="192" w:lineRule="atLeast"/>
              <w:rPr>
                <w:rFonts w:cs="Calibri"/>
                <w:b/>
                <w:bCs/>
              </w:rPr>
            </w:pPr>
            <w:r w:rsidRPr="0098093F">
              <w:rPr>
                <w:rFonts w:cs="Calibri"/>
                <w:b/>
                <w:bCs/>
              </w:rPr>
              <w:t>Total</w:t>
            </w:r>
          </w:p>
        </w:tc>
        <w:tc>
          <w:tcPr>
            <w:tcW w:w="990" w:type="dxa"/>
            <w:shd w:val="clear" w:color="auto" w:fill="auto"/>
            <w:vAlign w:val="bottom"/>
          </w:tcPr>
          <w:p w:rsidR="00FD42CE" w:rsidRPr="0098093F" w:rsidRDefault="00FD42CE" w:rsidP="00FD42CE">
            <w:pPr>
              <w:spacing w:before="100" w:beforeAutospacing="1" w:after="100" w:afterAutospacing="1" w:line="192" w:lineRule="atLeast"/>
              <w:jc w:val="right"/>
              <w:rPr>
                <w:rFonts w:cs="Calibri"/>
                <w:bCs/>
              </w:rPr>
            </w:pPr>
            <w:r w:rsidRPr="0098093F">
              <w:rPr>
                <w:rFonts w:cs="Calibri"/>
                <w:bCs/>
              </w:rPr>
              <w:t>5759</w:t>
            </w:r>
          </w:p>
        </w:tc>
        <w:tc>
          <w:tcPr>
            <w:tcW w:w="1260" w:type="dxa"/>
            <w:vAlign w:val="bottom"/>
          </w:tcPr>
          <w:p w:rsidR="00FD42CE" w:rsidRPr="0098093F" w:rsidRDefault="00FD42CE" w:rsidP="00FD42CE">
            <w:pPr>
              <w:spacing w:before="100" w:beforeAutospacing="1" w:after="100" w:afterAutospacing="1" w:line="192" w:lineRule="atLeast"/>
              <w:jc w:val="right"/>
              <w:rPr>
                <w:rFonts w:cs="Calibri"/>
                <w:bCs/>
              </w:rPr>
            </w:pPr>
            <w:r>
              <w:rPr>
                <w:rFonts w:cs="Calibri"/>
                <w:bCs/>
              </w:rPr>
              <w:t>5262</w:t>
            </w:r>
          </w:p>
        </w:tc>
      </w:tr>
    </w:tbl>
    <w:tbl>
      <w:tblPr>
        <w:tblpPr w:leftFromText="189" w:rightFromText="189" w:bottomFromText="200" w:vertAnchor="text" w:horzAnchor="margin" w:tblpXSpec="center" w:tblpY="5927"/>
        <w:tblW w:w="11193" w:type="dxa"/>
        <w:tblLook w:val="04A0"/>
      </w:tblPr>
      <w:tblGrid>
        <w:gridCol w:w="1303"/>
        <w:gridCol w:w="714"/>
        <w:gridCol w:w="704"/>
        <w:gridCol w:w="737"/>
        <w:gridCol w:w="634"/>
        <w:gridCol w:w="715"/>
        <w:gridCol w:w="789"/>
        <w:gridCol w:w="789"/>
        <w:gridCol w:w="789"/>
        <w:gridCol w:w="789"/>
        <w:gridCol w:w="789"/>
        <w:gridCol w:w="789"/>
        <w:gridCol w:w="789"/>
        <w:gridCol w:w="863"/>
      </w:tblGrid>
      <w:tr w:rsidR="00CF52FC" w:rsidTr="00CF52FC">
        <w:trPr>
          <w:trHeight w:val="322"/>
        </w:trPr>
        <w:tc>
          <w:tcPr>
            <w:tcW w:w="1303" w:type="dxa"/>
            <w:tcBorders>
              <w:top w:val="single" w:sz="8" w:space="0" w:color="auto"/>
              <w:left w:val="single" w:sz="8" w:space="0" w:color="auto"/>
              <w:bottom w:val="single" w:sz="8" w:space="0" w:color="auto"/>
              <w:right w:val="single" w:sz="8" w:space="0" w:color="auto"/>
            </w:tcBorders>
            <w:noWrap/>
            <w:vAlign w:val="bottom"/>
            <w:hideMark/>
          </w:tcPr>
          <w:p w:rsidR="00CF52FC" w:rsidRDefault="00CF52FC" w:rsidP="00CF52FC">
            <w:pPr>
              <w:rPr>
                <w:rFonts w:ascii="Times New Roman" w:hAnsi="Times New Roman"/>
                <w:sz w:val="24"/>
                <w:szCs w:val="24"/>
              </w:rPr>
            </w:pPr>
            <w:r>
              <w:rPr>
                <w:rFonts w:cs="Calibri"/>
                <w:b/>
                <w:bCs/>
                <w:color w:val="000000"/>
              </w:rPr>
              <w:t>Instruction Session Attendees</w:t>
            </w:r>
          </w:p>
        </w:tc>
        <w:tc>
          <w:tcPr>
            <w:tcW w:w="714"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JULY</w:t>
            </w:r>
          </w:p>
        </w:tc>
        <w:tc>
          <w:tcPr>
            <w:tcW w:w="704"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AUG</w:t>
            </w:r>
          </w:p>
        </w:tc>
        <w:tc>
          <w:tcPr>
            <w:tcW w:w="737"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SEPT</w:t>
            </w:r>
          </w:p>
        </w:tc>
        <w:tc>
          <w:tcPr>
            <w:tcW w:w="634"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OCT</w:t>
            </w:r>
          </w:p>
        </w:tc>
        <w:tc>
          <w:tcPr>
            <w:tcW w:w="715"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NOV</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DEC</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JAN</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FEB</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MAR</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APR</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MAY</w:t>
            </w:r>
          </w:p>
        </w:tc>
        <w:tc>
          <w:tcPr>
            <w:tcW w:w="789"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JUNE</w:t>
            </w:r>
          </w:p>
        </w:tc>
        <w:tc>
          <w:tcPr>
            <w:tcW w:w="863" w:type="dxa"/>
            <w:tcBorders>
              <w:top w:val="single" w:sz="8" w:space="0" w:color="auto"/>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b/>
                <w:bCs/>
              </w:rPr>
              <w:t>TOTAL</w:t>
            </w:r>
          </w:p>
        </w:tc>
      </w:tr>
      <w:tr w:rsidR="00CF52FC" w:rsidTr="00CF52FC">
        <w:trPr>
          <w:trHeight w:val="322"/>
        </w:trPr>
        <w:tc>
          <w:tcPr>
            <w:tcW w:w="1303" w:type="dxa"/>
            <w:tcBorders>
              <w:top w:val="nil"/>
              <w:left w:val="single" w:sz="8" w:space="0" w:color="auto"/>
              <w:bottom w:val="single" w:sz="8" w:space="0" w:color="auto"/>
              <w:right w:val="single" w:sz="8" w:space="0" w:color="auto"/>
            </w:tcBorders>
            <w:vAlign w:val="bottom"/>
            <w:hideMark/>
          </w:tcPr>
          <w:p w:rsidR="00CF52FC" w:rsidRDefault="00CF52FC" w:rsidP="00CF52FC">
            <w:pPr>
              <w:rPr>
                <w:rFonts w:ascii="Times New Roman" w:hAnsi="Times New Roman"/>
                <w:sz w:val="24"/>
                <w:szCs w:val="24"/>
              </w:rPr>
            </w:pPr>
            <w:r>
              <w:rPr>
                <w:rFonts w:cs="Calibri"/>
                <w:b/>
                <w:bCs/>
                <w:color w:val="000000"/>
              </w:rPr>
              <w:t>FY2012</w:t>
            </w:r>
          </w:p>
        </w:tc>
        <w:tc>
          <w:tcPr>
            <w:tcW w:w="714"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47</w:t>
            </w:r>
          </w:p>
        </w:tc>
        <w:tc>
          <w:tcPr>
            <w:tcW w:w="704"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152</w:t>
            </w:r>
          </w:p>
        </w:tc>
        <w:tc>
          <w:tcPr>
            <w:tcW w:w="737"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505</w:t>
            </w:r>
          </w:p>
        </w:tc>
        <w:tc>
          <w:tcPr>
            <w:tcW w:w="634"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801</w:t>
            </w:r>
          </w:p>
        </w:tc>
        <w:tc>
          <w:tcPr>
            <w:tcW w:w="715"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391</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0</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393</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696</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761</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250</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52</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162</w:t>
            </w:r>
          </w:p>
        </w:tc>
        <w:tc>
          <w:tcPr>
            <w:tcW w:w="863"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4210</w:t>
            </w:r>
          </w:p>
        </w:tc>
      </w:tr>
      <w:tr w:rsidR="00CF52FC" w:rsidTr="00CF52FC">
        <w:trPr>
          <w:trHeight w:val="322"/>
        </w:trPr>
        <w:tc>
          <w:tcPr>
            <w:tcW w:w="1303" w:type="dxa"/>
            <w:tcBorders>
              <w:top w:val="nil"/>
              <w:left w:val="single" w:sz="8" w:space="0" w:color="auto"/>
              <w:bottom w:val="single" w:sz="8" w:space="0" w:color="auto"/>
              <w:right w:val="single" w:sz="8" w:space="0" w:color="auto"/>
            </w:tcBorders>
            <w:vAlign w:val="bottom"/>
            <w:hideMark/>
          </w:tcPr>
          <w:p w:rsidR="00CF52FC" w:rsidRDefault="00CF52FC" w:rsidP="00CF52FC">
            <w:pPr>
              <w:rPr>
                <w:rFonts w:ascii="Times New Roman" w:hAnsi="Times New Roman"/>
                <w:sz w:val="24"/>
                <w:szCs w:val="24"/>
              </w:rPr>
            </w:pPr>
            <w:r>
              <w:rPr>
                <w:rFonts w:cs="Calibri"/>
                <w:b/>
                <w:bCs/>
                <w:color w:val="000000"/>
              </w:rPr>
              <w:t>FY2011</w:t>
            </w:r>
          </w:p>
        </w:tc>
        <w:tc>
          <w:tcPr>
            <w:tcW w:w="714"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25</w:t>
            </w:r>
          </w:p>
        </w:tc>
        <w:tc>
          <w:tcPr>
            <w:tcW w:w="704"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279</w:t>
            </w:r>
          </w:p>
        </w:tc>
        <w:tc>
          <w:tcPr>
            <w:tcW w:w="737"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790</w:t>
            </w:r>
          </w:p>
        </w:tc>
        <w:tc>
          <w:tcPr>
            <w:tcW w:w="634"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288</w:t>
            </w:r>
          </w:p>
        </w:tc>
        <w:tc>
          <w:tcPr>
            <w:tcW w:w="715"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372</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77</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465</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697</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277</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293</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0</w:t>
            </w:r>
          </w:p>
        </w:tc>
        <w:tc>
          <w:tcPr>
            <w:tcW w:w="789"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239</w:t>
            </w:r>
          </w:p>
        </w:tc>
        <w:tc>
          <w:tcPr>
            <w:tcW w:w="863" w:type="dxa"/>
            <w:tcBorders>
              <w:top w:val="nil"/>
              <w:left w:val="nil"/>
              <w:bottom w:val="single" w:sz="8" w:space="0" w:color="auto"/>
              <w:right w:val="single" w:sz="8" w:space="0" w:color="auto"/>
            </w:tcBorders>
            <w:noWrap/>
            <w:vAlign w:val="bottom"/>
            <w:hideMark/>
          </w:tcPr>
          <w:p w:rsidR="00CF52FC" w:rsidRDefault="00CF52FC" w:rsidP="00CF52FC">
            <w:pPr>
              <w:jc w:val="right"/>
              <w:rPr>
                <w:rFonts w:ascii="Times New Roman" w:hAnsi="Times New Roman"/>
                <w:sz w:val="24"/>
                <w:szCs w:val="24"/>
              </w:rPr>
            </w:pPr>
            <w:r>
              <w:rPr>
                <w:rFonts w:cs="Calibri"/>
                <w:color w:val="000000"/>
              </w:rPr>
              <w:t>3802</w:t>
            </w:r>
          </w:p>
        </w:tc>
      </w:tr>
    </w:tbl>
    <w:p w:rsidR="00FD42CE" w:rsidRPr="00833EE4" w:rsidRDefault="00FD42CE" w:rsidP="00833EE4"/>
    <w:sectPr w:rsidR="00FD42CE" w:rsidRPr="00833EE4" w:rsidSect="00A9175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725"/>
    <w:multiLevelType w:val="hybridMultilevel"/>
    <w:tmpl w:val="90E2C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D2AAF"/>
    <w:multiLevelType w:val="hybridMultilevel"/>
    <w:tmpl w:val="86888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B15653"/>
    <w:multiLevelType w:val="hybridMultilevel"/>
    <w:tmpl w:val="0F9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15741"/>
    <w:multiLevelType w:val="hybridMultilevel"/>
    <w:tmpl w:val="461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36F1"/>
    <w:multiLevelType w:val="hybridMultilevel"/>
    <w:tmpl w:val="FACCE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D58AC"/>
    <w:multiLevelType w:val="hybridMultilevel"/>
    <w:tmpl w:val="1D5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40711"/>
    <w:multiLevelType w:val="hybridMultilevel"/>
    <w:tmpl w:val="F5101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014AA"/>
    <w:multiLevelType w:val="hybridMultilevel"/>
    <w:tmpl w:val="ED0E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C17F1"/>
    <w:multiLevelType w:val="hybridMultilevel"/>
    <w:tmpl w:val="2010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003F7A"/>
    <w:multiLevelType w:val="hybridMultilevel"/>
    <w:tmpl w:val="B510DC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672FD6"/>
    <w:multiLevelType w:val="hybridMultilevel"/>
    <w:tmpl w:val="C63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04DFB"/>
    <w:multiLevelType w:val="hybridMultilevel"/>
    <w:tmpl w:val="C1DA5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AD64A9"/>
    <w:multiLevelType w:val="hybridMultilevel"/>
    <w:tmpl w:val="03F2A3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E203BD9"/>
    <w:multiLevelType w:val="hybridMultilevel"/>
    <w:tmpl w:val="44969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3D2612"/>
    <w:multiLevelType w:val="hybridMultilevel"/>
    <w:tmpl w:val="4F3AD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3C62CC"/>
    <w:multiLevelType w:val="hybridMultilevel"/>
    <w:tmpl w:val="00041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4"/>
  </w:num>
  <w:num w:numId="4">
    <w:abstractNumId w:val="8"/>
  </w:num>
  <w:num w:numId="5">
    <w:abstractNumId w:val="6"/>
  </w:num>
  <w:num w:numId="6">
    <w:abstractNumId w:val="7"/>
  </w:num>
  <w:num w:numId="7">
    <w:abstractNumId w:val="5"/>
  </w:num>
  <w:num w:numId="8">
    <w:abstractNumId w:val="14"/>
  </w:num>
  <w:num w:numId="9">
    <w:abstractNumId w:val="15"/>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532363"/>
    <w:rsid w:val="000575E8"/>
    <w:rsid w:val="00096F4F"/>
    <w:rsid w:val="000B1F8E"/>
    <w:rsid w:val="000D506F"/>
    <w:rsid w:val="00166BE6"/>
    <w:rsid w:val="001750A0"/>
    <w:rsid w:val="00181B90"/>
    <w:rsid w:val="001C1140"/>
    <w:rsid w:val="002A45ED"/>
    <w:rsid w:val="00343022"/>
    <w:rsid w:val="0036533B"/>
    <w:rsid w:val="003E5059"/>
    <w:rsid w:val="004A46CB"/>
    <w:rsid w:val="00532363"/>
    <w:rsid w:val="006F2092"/>
    <w:rsid w:val="00811953"/>
    <w:rsid w:val="008328D0"/>
    <w:rsid w:val="00833EE4"/>
    <w:rsid w:val="008B1E50"/>
    <w:rsid w:val="008C66A3"/>
    <w:rsid w:val="008F1328"/>
    <w:rsid w:val="009526AB"/>
    <w:rsid w:val="009851AB"/>
    <w:rsid w:val="009F2B4E"/>
    <w:rsid w:val="00A91753"/>
    <w:rsid w:val="00A968F1"/>
    <w:rsid w:val="00AB0644"/>
    <w:rsid w:val="00AD10A4"/>
    <w:rsid w:val="00B21B67"/>
    <w:rsid w:val="00CA171E"/>
    <w:rsid w:val="00CF52FC"/>
    <w:rsid w:val="00D00FB2"/>
    <w:rsid w:val="00D50FDE"/>
    <w:rsid w:val="00F35211"/>
    <w:rsid w:val="00FC3923"/>
    <w:rsid w:val="00FD4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1753"/>
    <w:rPr>
      <w:rFonts w:eastAsia="Times New Roman"/>
      <w:sz w:val="22"/>
      <w:szCs w:val="22"/>
    </w:rPr>
  </w:style>
  <w:style w:type="character" w:customStyle="1" w:styleId="NoSpacingChar">
    <w:name w:val="No Spacing Char"/>
    <w:basedOn w:val="DefaultParagraphFont"/>
    <w:link w:val="NoSpacing"/>
    <w:uiPriority w:val="1"/>
    <w:rsid w:val="00A9175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9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53"/>
    <w:rPr>
      <w:rFonts w:ascii="Tahoma" w:hAnsi="Tahoma" w:cs="Tahoma"/>
      <w:sz w:val="16"/>
      <w:szCs w:val="16"/>
    </w:rPr>
  </w:style>
  <w:style w:type="paragraph" w:styleId="ListParagraph">
    <w:name w:val="List Paragraph"/>
    <w:basedOn w:val="Normal"/>
    <w:uiPriority w:val="34"/>
    <w:qFormat/>
    <w:rsid w:val="00A91753"/>
    <w:pPr>
      <w:ind w:left="720"/>
      <w:contextualSpacing/>
    </w:pPr>
  </w:style>
  <w:style w:type="paragraph" w:styleId="NormalWeb">
    <w:name w:val="Normal (Web)"/>
    <w:basedOn w:val="Normal"/>
    <w:uiPriority w:val="99"/>
    <w:semiHidden/>
    <w:unhideWhenUsed/>
    <w:rsid w:val="00FC3923"/>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1750A0"/>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1750A0"/>
  </w:style>
  <w:style w:type="character" w:customStyle="1" w:styleId="list0020paragraphchar">
    <w:name w:val="list_0020paragraph__char"/>
    <w:rsid w:val="001750A0"/>
  </w:style>
  <w:style w:type="character" w:styleId="CommentReference">
    <w:name w:val="annotation reference"/>
    <w:basedOn w:val="DefaultParagraphFont"/>
    <w:uiPriority w:val="99"/>
    <w:semiHidden/>
    <w:unhideWhenUsed/>
    <w:rsid w:val="00811953"/>
    <w:rPr>
      <w:sz w:val="16"/>
      <w:szCs w:val="16"/>
    </w:rPr>
  </w:style>
  <w:style w:type="paragraph" w:styleId="CommentText">
    <w:name w:val="annotation text"/>
    <w:basedOn w:val="Normal"/>
    <w:link w:val="CommentTextChar"/>
    <w:uiPriority w:val="99"/>
    <w:semiHidden/>
    <w:unhideWhenUsed/>
    <w:rsid w:val="00811953"/>
    <w:rPr>
      <w:sz w:val="20"/>
      <w:szCs w:val="20"/>
    </w:rPr>
  </w:style>
  <w:style w:type="character" w:customStyle="1" w:styleId="CommentTextChar">
    <w:name w:val="Comment Text Char"/>
    <w:basedOn w:val="DefaultParagraphFont"/>
    <w:link w:val="CommentText"/>
    <w:uiPriority w:val="99"/>
    <w:semiHidden/>
    <w:rsid w:val="00811953"/>
  </w:style>
  <w:style w:type="paragraph" w:styleId="CommentSubject">
    <w:name w:val="annotation subject"/>
    <w:basedOn w:val="CommentText"/>
    <w:next w:val="CommentText"/>
    <w:link w:val="CommentSubjectChar"/>
    <w:uiPriority w:val="99"/>
    <w:semiHidden/>
    <w:unhideWhenUsed/>
    <w:rsid w:val="00811953"/>
    <w:rPr>
      <w:b/>
      <w:bCs/>
    </w:rPr>
  </w:style>
  <w:style w:type="character" w:customStyle="1" w:styleId="CommentSubjectChar">
    <w:name w:val="Comment Subject Char"/>
    <w:basedOn w:val="CommentTextChar"/>
    <w:link w:val="CommentSubject"/>
    <w:uiPriority w:val="99"/>
    <w:semiHidden/>
    <w:rsid w:val="00811953"/>
    <w:rPr>
      <w:b/>
      <w:bCs/>
    </w:rPr>
  </w:style>
</w:styles>
</file>

<file path=word/webSettings.xml><?xml version="1.0" encoding="utf-8"?>
<w:webSettings xmlns:r="http://schemas.openxmlformats.org/officeDocument/2006/relationships" xmlns:w="http://schemas.openxmlformats.org/wordprocessingml/2006/main">
  <w:divs>
    <w:div w:id="442650027">
      <w:bodyDiv w:val="1"/>
      <w:marLeft w:val="0"/>
      <w:marRight w:val="0"/>
      <w:marTop w:val="0"/>
      <w:marBottom w:val="0"/>
      <w:divBdr>
        <w:top w:val="none" w:sz="0" w:space="0" w:color="auto"/>
        <w:left w:val="none" w:sz="0" w:space="0" w:color="auto"/>
        <w:bottom w:val="none" w:sz="0" w:space="0" w:color="auto"/>
        <w:right w:val="none" w:sz="0" w:space="0" w:color="auto"/>
      </w:divBdr>
    </w:div>
    <w:div w:id="577634944">
      <w:bodyDiv w:val="1"/>
      <w:marLeft w:val="0"/>
      <w:marRight w:val="0"/>
      <w:marTop w:val="0"/>
      <w:marBottom w:val="0"/>
      <w:divBdr>
        <w:top w:val="none" w:sz="0" w:space="0" w:color="auto"/>
        <w:left w:val="none" w:sz="0" w:space="0" w:color="auto"/>
        <w:bottom w:val="none" w:sz="0" w:space="0" w:color="auto"/>
        <w:right w:val="none" w:sz="0" w:space="0" w:color="auto"/>
      </w:divBdr>
    </w:div>
    <w:div w:id="10318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55879CC20B64CA01C0E8E522B8714" ma:contentTypeVersion="0" ma:contentTypeDescription="Create a new document." ma:contentTypeScope="" ma:versionID="2e80f18781e7ba5f5d5164a9945f88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6218D-51A1-4ED4-A75C-B59814133B3D}">
  <ds:schemaRefs>
    <ds:schemaRef ds:uri="http://schemas.microsoft.com/sharepoint/v3/contenttype/forms"/>
  </ds:schemaRefs>
</ds:datastoreItem>
</file>

<file path=customXml/itemProps2.xml><?xml version="1.0" encoding="utf-8"?>
<ds:datastoreItem xmlns:ds="http://schemas.openxmlformats.org/officeDocument/2006/customXml" ds:itemID="{F38EC083-348F-4794-9A2A-9EB0ADBD9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5B6F0C-F9F5-4B79-9DB1-E06F13D59D4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Annual Report</vt:lpstr>
    </vt:vector>
  </TitlesOfParts>
  <Company>Georgia Gwinnett College Library</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2011-2012</dc:subject>
  <dc:creator>t</dc:creator>
  <cp:lastModifiedBy>Joy Bolt</cp:lastModifiedBy>
  <cp:revision>2</cp:revision>
  <cp:lastPrinted>2012-10-01T18:04:00Z</cp:lastPrinted>
  <dcterms:created xsi:type="dcterms:W3CDTF">2012-10-22T18:15:00Z</dcterms:created>
  <dcterms:modified xsi:type="dcterms:W3CDTF">2012-10-22T18:15:00Z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0x0101004DB55879CC20B64CA01C0E8E522B8714</vt:lpwstr>
  </property>
</Properties>
</file>